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11" w:rsidRDefault="00365B11" w:rsidP="0036086D">
      <w:pPr>
        <w:spacing w:after="0" w:line="240" w:lineRule="auto"/>
        <w:rPr>
          <w:b/>
          <w:sz w:val="28"/>
          <w:szCs w:val="28"/>
        </w:rPr>
      </w:pPr>
    </w:p>
    <w:p w:rsidR="00365B11" w:rsidRDefault="00365B11" w:rsidP="0036086D">
      <w:pPr>
        <w:spacing w:after="0" w:line="240" w:lineRule="auto"/>
        <w:rPr>
          <w:b/>
          <w:sz w:val="28"/>
          <w:szCs w:val="28"/>
        </w:rPr>
      </w:pPr>
    </w:p>
    <w:p w:rsidR="006C78A2" w:rsidRDefault="0010380A" w:rsidP="0036086D">
      <w:pPr>
        <w:spacing w:after="0" w:line="240" w:lineRule="auto"/>
        <w:rPr>
          <w:b/>
          <w:sz w:val="28"/>
          <w:szCs w:val="28"/>
        </w:rPr>
      </w:pPr>
      <w:r>
        <w:rPr>
          <w:b/>
          <w:noProof/>
          <w:sz w:val="28"/>
          <w:szCs w:val="28"/>
          <w:lang w:eastAsia="en-GB"/>
        </w:rPr>
        <w:drawing>
          <wp:anchor distT="0" distB="0" distL="114300" distR="114300" simplePos="0" relativeHeight="251658240" behindDoc="0" locked="0" layoutInCell="1" allowOverlap="1" wp14:anchorId="0613557D" wp14:editId="2EC353C9">
            <wp:simplePos x="0" y="0"/>
            <wp:positionH relativeFrom="column">
              <wp:posOffset>5199850</wp:posOffset>
            </wp:positionH>
            <wp:positionV relativeFrom="paragraph">
              <wp:posOffset>-897890</wp:posOffset>
            </wp:positionV>
            <wp:extent cx="1550504" cy="1550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0504" cy="1550504"/>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ab/>
      </w:r>
    </w:p>
    <w:p w:rsidR="002C6E9C" w:rsidRDefault="00C86511" w:rsidP="0036086D">
      <w:pPr>
        <w:spacing w:after="0" w:line="240" w:lineRule="auto"/>
        <w:rPr>
          <w:b/>
          <w:sz w:val="28"/>
          <w:szCs w:val="28"/>
        </w:rPr>
      </w:pPr>
      <w:r>
        <w:rPr>
          <w:b/>
          <w:sz w:val="28"/>
          <w:szCs w:val="28"/>
        </w:rPr>
        <w:t xml:space="preserve">Guidance Notes </w:t>
      </w:r>
      <w:r w:rsidRPr="00C86511">
        <w:rPr>
          <w:b/>
          <w:sz w:val="28"/>
          <w:szCs w:val="28"/>
        </w:rPr>
        <w:t>–</w:t>
      </w:r>
      <w:r w:rsidR="00181B1E" w:rsidRPr="00C86511">
        <w:rPr>
          <w:b/>
          <w:sz w:val="28"/>
          <w:szCs w:val="28"/>
        </w:rPr>
        <w:t xml:space="preserve"> Great Places Covid 19</w:t>
      </w:r>
      <w:r w:rsidR="00C718A4" w:rsidRPr="00C86511">
        <w:rPr>
          <w:b/>
          <w:sz w:val="28"/>
          <w:szCs w:val="28"/>
        </w:rPr>
        <w:t xml:space="preserve"> Community Resilience</w:t>
      </w:r>
      <w:r w:rsidR="00CA2399" w:rsidRPr="00C86511">
        <w:rPr>
          <w:b/>
          <w:sz w:val="28"/>
          <w:szCs w:val="28"/>
        </w:rPr>
        <w:t xml:space="preserve"> </w:t>
      </w:r>
      <w:r w:rsidR="00C718A4" w:rsidRPr="00C86511">
        <w:rPr>
          <w:b/>
          <w:sz w:val="28"/>
          <w:szCs w:val="28"/>
        </w:rPr>
        <w:t xml:space="preserve">Fund </w:t>
      </w:r>
    </w:p>
    <w:p w:rsidR="009C5246" w:rsidRDefault="00610E72" w:rsidP="006C78A2">
      <w:pPr>
        <w:spacing w:after="0" w:line="240" w:lineRule="auto"/>
        <w:jc w:val="center"/>
        <w:rPr>
          <w:b/>
          <w:sz w:val="28"/>
          <w:szCs w:val="28"/>
        </w:rPr>
      </w:pPr>
      <w:r>
        <w:rPr>
          <w:b/>
          <w:sz w:val="28"/>
          <w:szCs w:val="28"/>
        </w:rPr>
        <w:t xml:space="preserve">January 2020 – Round 2 </w:t>
      </w:r>
    </w:p>
    <w:p w:rsidR="00B45DE1" w:rsidRPr="001C5F09" w:rsidRDefault="00B865EE" w:rsidP="0036086D">
      <w:pPr>
        <w:spacing w:after="0" w:line="240" w:lineRule="auto"/>
        <w:rPr>
          <w:b/>
        </w:rPr>
      </w:pPr>
      <w:r w:rsidRPr="001C5F09">
        <w:rPr>
          <w:b/>
        </w:rPr>
        <w:t xml:space="preserve">1. </w:t>
      </w:r>
      <w:r w:rsidR="00B45DE1" w:rsidRPr="001C5F09">
        <w:rPr>
          <w:b/>
        </w:rPr>
        <w:t>Introduction</w:t>
      </w:r>
    </w:p>
    <w:p w:rsidR="00B45DE1" w:rsidRPr="001C5F09" w:rsidRDefault="00B45DE1" w:rsidP="001C5F09">
      <w:pPr>
        <w:spacing w:after="0" w:line="240" w:lineRule="auto"/>
        <w:jc w:val="center"/>
        <w:rPr>
          <w:b/>
          <w:color w:val="FF0000"/>
        </w:rPr>
      </w:pPr>
    </w:p>
    <w:p w:rsidR="00C718A4" w:rsidRPr="001C5F09" w:rsidRDefault="00B45DE1" w:rsidP="001C5F09">
      <w:pPr>
        <w:tabs>
          <w:tab w:val="left" w:pos="567"/>
        </w:tabs>
        <w:spacing w:after="240" w:line="240" w:lineRule="auto"/>
        <w:contextualSpacing/>
        <w:rPr>
          <w:rFonts w:cs="Calibri"/>
        </w:rPr>
      </w:pPr>
      <w:r w:rsidRPr="001C5F09">
        <w:rPr>
          <w:rFonts w:cs="Calibri"/>
        </w:rPr>
        <w:t>Great Places Housing Group</w:t>
      </w:r>
      <w:r w:rsidR="002C6E9C" w:rsidRPr="001C5F09">
        <w:rPr>
          <w:rFonts w:cs="Calibri"/>
        </w:rPr>
        <w:t xml:space="preserve"> is committed </w:t>
      </w:r>
      <w:r w:rsidR="00884108" w:rsidRPr="001C5F09">
        <w:rPr>
          <w:rFonts w:cs="Calibri"/>
        </w:rPr>
        <w:t>to supporting</w:t>
      </w:r>
      <w:r w:rsidR="00D30CB8" w:rsidRPr="001C5F09">
        <w:rPr>
          <w:rFonts w:cs="Calibri"/>
        </w:rPr>
        <w:t xml:space="preserve"> our customers and communities. We </w:t>
      </w:r>
      <w:r w:rsidR="00C22103" w:rsidRPr="001C5F09">
        <w:rPr>
          <w:rFonts w:cs="Calibri"/>
        </w:rPr>
        <w:t xml:space="preserve">established a new fund to help rebuild </w:t>
      </w:r>
      <w:r w:rsidR="00884108" w:rsidRPr="001C5F09">
        <w:rPr>
          <w:rFonts w:cs="Calibri"/>
        </w:rPr>
        <w:t>neighbourhoods</w:t>
      </w:r>
      <w:r w:rsidR="00C22103" w:rsidRPr="001C5F09">
        <w:rPr>
          <w:rFonts w:cs="Calibri"/>
        </w:rPr>
        <w:t xml:space="preserve"> and create more resilience in</w:t>
      </w:r>
      <w:r w:rsidR="00884108" w:rsidRPr="001C5F09">
        <w:rPr>
          <w:rFonts w:cs="Calibri"/>
        </w:rPr>
        <w:t xml:space="preserve"> the wake of the </w:t>
      </w:r>
      <w:r w:rsidR="00C22103" w:rsidRPr="001C5F09">
        <w:rPr>
          <w:rFonts w:cs="Calibri"/>
        </w:rPr>
        <w:t>Covid-19 pandemic.</w:t>
      </w:r>
    </w:p>
    <w:p w:rsidR="00B45DE1" w:rsidRPr="001C5F09" w:rsidRDefault="00B45DE1" w:rsidP="001C5F09">
      <w:pPr>
        <w:tabs>
          <w:tab w:val="left" w:pos="567"/>
        </w:tabs>
        <w:spacing w:after="240" w:line="240" w:lineRule="auto"/>
        <w:contextualSpacing/>
        <w:rPr>
          <w:rFonts w:cs="Calibri"/>
        </w:rPr>
      </w:pPr>
    </w:p>
    <w:p w:rsidR="00D30CB8" w:rsidRPr="001C5F09" w:rsidRDefault="00B865EE" w:rsidP="001C5F09">
      <w:pPr>
        <w:tabs>
          <w:tab w:val="left" w:pos="567"/>
        </w:tabs>
        <w:spacing w:after="240" w:line="240" w:lineRule="auto"/>
        <w:contextualSpacing/>
        <w:rPr>
          <w:rFonts w:cs="Calibri"/>
          <w:b/>
        </w:rPr>
      </w:pPr>
      <w:r w:rsidRPr="001C5F09">
        <w:rPr>
          <w:rFonts w:cs="Calibri"/>
          <w:b/>
        </w:rPr>
        <w:t xml:space="preserve">2. </w:t>
      </w:r>
      <w:r w:rsidR="000B75FE" w:rsidRPr="001C5F09">
        <w:rPr>
          <w:rFonts w:cs="Calibri"/>
          <w:b/>
        </w:rPr>
        <w:t>P</w:t>
      </w:r>
      <w:r w:rsidR="00B45DE1" w:rsidRPr="001C5F09">
        <w:rPr>
          <w:rFonts w:cs="Calibri"/>
          <w:b/>
        </w:rPr>
        <w:t>urpose of fund</w:t>
      </w:r>
      <w:r w:rsidR="00D30CB8" w:rsidRPr="001C5F09">
        <w:rPr>
          <w:rFonts w:cs="Calibri"/>
          <w:b/>
        </w:rPr>
        <w:t xml:space="preserve"> and key Great Places principles </w:t>
      </w:r>
    </w:p>
    <w:p w:rsidR="00B45DE1" w:rsidRPr="001C5F09" w:rsidRDefault="00B45DE1" w:rsidP="001C5F09">
      <w:pPr>
        <w:tabs>
          <w:tab w:val="left" w:pos="567"/>
        </w:tabs>
        <w:spacing w:after="240" w:line="240" w:lineRule="auto"/>
        <w:contextualSpacing/>
        <w:rPr>
          <w:rFonts w:cs="Calibri"/>
          <w:b/>
        </w:rPr>
      </w:pPr>
    </w:p>
    <w:p w:rsidR="00C22103" w:rsidRPr="001C5F09" w:rsidRDefault="00884108" w:rsidP="001C5F09">
      <w:pPr>
        <w:tabs>
          <w:tab w:val="left" w:pos="567"/>
        </w:tabs>
        <w:spacing w:after="240" w:line="240" w:lineRule="auto"/>
        <w:contextualSpacing/>
        <w:rPr>
          <w:rFonts w:cs="Calibri"/>
        </w:rPr>
      </w:pPr>
      <w:r w:rsidRPr="001C5F09">
        <w:rPr>
          <w:rFonts w:cs="Calibri"/>
        </w:rPr>
        <w:t xml:space="preserve">The fund is intended to </w:t>
      </w:r>
      <w:r w:rsidR="001C5F09" w:rsidRPr="001C5F09">
        <w:rPr>
          <w:rFonts w:cs="Calibri"/>
        </w:rPr>
        <w:t>provide financial</w:t>
      </w:r>
      <w:r w:rsidR="00E973E2" w:rsidRPr="001C5F09">
        <w:rPr>
          <w:rFonts w:cs="Calibri"/>
        </w:rPr>
        <w:t xml:space="preserve"> </w:t>
      </w:r>
      <w:r w:rsidR="009274D7" w:rsidRPr="001C5F09">
        <w:rPr>
          <w:rFonts w:cs="Calibri"/>
        </w:rPr>
        <w:t xml:space="preserve">support </w:t>
      </w:r>
      <w:r w:rsidR="001C5F09">
        <w:rPr>
          <w:rFonts w:cs="Calibri"/>
        </w:rPr>
        <w:t>for</w:t>
      </w:r>
      <w:r w:rsidR="00C22103" w:rsidRPr="001C5F09">
        <w:rPr>
          <w:rFonts w:cs="Calibri"/>
        </w:rPr>
        <w:t xml:space="preserve"> community </w:t>
      </w:r>
      <w:r w:rsidR="00E973E2" w:rsidRPr="001C5F09">
        <w:rPr>
          <w:rFonts w:cs="Calibri"/>
        </w:rPr>
        <w:t>groups, charities and social enterprises</w:t>
      </w:r>
      <w:r w:rsidR="00C22103" w:rsidRPr="001C5F09">
        <w:rPr>
          <w:rFonts w:cs="Calibri"/>
        </w:rPr>
        <w:t xml:space="preserve"> to</w:t>
      </w:r>
      <w:r w:rsidRPr="001C5F09">
        <w:rPr>
          <w:rFonts w:cs="Calibri"/>
        </w:rPr>
        <w:t xml:space="preserve"> implement their COVID-19 recovery strategies and to become more resilient to future economic set-backs. </w:t>
      </w:r>
    </w:p>
    <w:p w:rsidR="00C22103" w:rsidRPr="001C5F09" w:rsidRDefault="00C22103" w:rsidP="001C5F09">
      <w:pPr>
        <w:tabs>
          <w:tab w:val="left" w:pos="567"/>
        </w:tabs>
        <w:spacing w:after="240" w:line="240" w:lineRule="auto"/>
        <w:contextualSpacing/>
        <w:rPr>
          <w:rFonts w:cs="Calibri"/>
        </w:rPr>
      </w:pPr>
    </w:p>
    <w:p w:rsidR="00B45DE1" w:rsidRPr="001C5F09" w:rsidRDefault="00C22103" w:rsidP="001C5F09">
      <w:pPr>
        <w:tabs>
          <w:tab w:val="left" w:pos="567"/>
        </w:tabs>
        <w:spacing w:after="240" w:line="240" w:lineRule="auto"/>
        <w:contextualSpacing/>
        <w:rPr>
          <w:rFonts w:cs="Calibri"/>
        </w:rPr>
      </w:pPr>
      <w:r w:rsidRPr="001C5F09">
        <w:rPr>
          <w:rFonts w:cs="Calibri"/>
        </w:rPr>
        <w:t>Our guiding principles are to support our</w:t>
      </w:r>
      <w:r w:rsidR="00B45DE1" w:rsidRPr="001C5F09">
        <w:rPr>
          <w:rFonts w:cs="Calibri"/>
        </w:rPr>
        <w:t xml:space="preserve"> priority neighbourhoods and customers </w:t>
      </w:r>
      <w:r w:rsidRPr="001C5F09">
        <w:rPr>
          <w:rFonts w:cs="Calibri"/>
        </w:rPr>
        <w:t>to access</w:t>
      </w:r>
      <w:r w:rsidR="00B45DE1" w:rsidRPr="001C5F09">
        <w:rPr>
          <w:rFonts w:cs="Calibri"/>
        </w:rPr>
        <w:t xml:space="preserve"> </w:t>
      </w:r>
      <w:r w:rsidR="00C86511" w:rsidRPr="001C5F09">
        <w:rPr>
          <w:rFonts w:cs="Calibri"/>
        </w:rPr>
        <w:t>help in</w:t>
      </w:r>
      <w:r w:rsidR="00B45DE1" w:rsidRPr="001C5F09">
        <w:rPr>
          <w:rFonts w:cs="Calibri"/>
        </w:rPr>
        <w:t xml:space="preserve"> alignment with key Local Authority action plans and strategies</w:t>
      </w:r>
      <w:r w:rsidR="00340C49" w:rsidRPr="001C5F09">
        <w:rPr>
          <w:rFonts w:cs="Calibri"/>
        </w:rPr>
        <w:t xml:space="preserve"> whilst </w:t>
      </w:r>
      <w:r w:rsidR="00B45DE1" w:rsidRPr="001C5F09">
        <w:rPr>
          <w:rFonts w:cs="Calibri"/>
        </w:rPr>
        <w:t>help</w:t>
      </w:r>
      <w:r w:rsidR="00340C49" w:rsidRPr="001C5F09">
        <w:rPr>
          <w:rFonts w:cs="Calibri"/>
        </w:rPr>
        <w:t>ing</w:t>
      </w:r>
      <w:r w:rsidR="00B45DE1" w:rsidRPr="001C5F09">
        <w:rPr>
          <w:rFonts w:cs="Calibri"/>
        </w:rPr>
        <w:t xml:space="preserve"> meet our key Service Delivery Framework principles. </w:t>
      </w:r>
    </w:p>
    <w:p w:rsidR="00340C49" w:rsidRPr="001C5F09" w:rsidRDefault="00340C49" w:rsidP="001C5F09">
      <w:pPr>
        <w:tabs>
          <w:tab w:val="left" w:pos="567"/>
        </w:tabs>
        <w:spacing w:after="240" w:line="240" w:lineRule="auto"/>
        <w:contextualSpacing/>
        <w:rPr>
          <w:rFonts w:cs="Calibri"/>
        </w:rPr>
      </w:pPr>
    </w:p>
    <w:p w:rsidR="00340C49" w:rsidRPr="001C5F09" w:rsidRDefault="00340C49" w:rsidP="001C5F09">
      <w:pPr>
        <w:tabs>
          <w:tab w:val="left" w:pos="567"/>
        </w:tabs>
        <w:spacing w:after="240" w:line="240" w:lineRule="auto"/>
        <w:contextualSpacing/>
        <w:rPr>
          <w:rFonts w:cs="Calibri"/>
        </w:rPr>
      </w:pPr>
      <w:r w:rsidRPr="001C5F09">
        <w:rPr>
          <w:rFonts w:cs="Calibri"/>
        </w:rPr>
        <w:t>Great Places wishes to fund a range of services and activities and has set out our criteria in these guidance notes which should be viewed in conjunction with the application form.</w:t>
      </w:r>
    </w:p>
    <w:p w:rsidR="00F36E29" w:rsidRPr="001C5F09" w:rsidRDefault="00F36E29" w:rsidP="001C5F09">
      <w:pPr>
        <w:tabs>
          <w:tab w:val="left" w:pos="567"/>
        </w:tabs>
        <w:spacing w:after="240" w:line="240" w:lineRule="auto"/>
        <w:contextualSpacing/>
        <w:rPr>
          <w:rFonts w:cs="Calibri"/>
        </w:rPr>
      </w:pPr>
    </w:p>
    <w:p w:rsidR="00340C49" w:rsidRPr="001C5F09" w:rsidRDefault="00D30CB8" w:rsidP="001C5F09">
      <w:pPr>
        <w:tabs>
          <w:tab w:val="left" w:pos="567"/>
        </w:tabs>
        <w:spacing w:after="240" w:line="240" w:lineRule="auto"/>
        <w:contextualSpacing/>
        <w:rPr>
          <w:rFonts w:cs="Calibri"/>
          <w:b/>
        </w:rPr>
      </w:pPr>
      <w:r w:rsidRPr="001C5F09">
        <w:rPr>
          <w:rFonts w:cs="Calibri"/>
          <w:b/>
        </w:rPr>
        <w:t>3</w:t>
      </w:r>
      <w:r w:rsidR="00B865EE" w:rsidRPr="001C5F09">
        <w:rPr>
          <w:rFonts w:cs="Calibri"/>
          <w:b/>
        </w:rPr>
        <w:t xml:space="preserve">. </w:t>
      </w:r>
      <w:r w:rsidR="00B45DE1" w:rsidRPr="001C5F09">
        <w:rPr>
          <w:rFonts w:cs="Calibri"/>
          <w:b/>
        </w:rPr>
        <w:t>Themes</w:t>
      </w:r>
    </w:p>
    <w:p w:rsidR="00340C49" w:rsidRPr="001C5F09" w:rsidRDefault="00340C49" w:rsidP="001C5F09">
      <w:pPr>
        <w:tabs>
          <w:tab w:val="left" w:pos="567"/>
        </w:tabs>
        <w:spacing w:after="240" w:line="240" w:lineRule="auto"/>
        <w:contextualSpacing/>
        <w:rPr>
          <w:rFonts w:cs="Calibri"/>
        </w:rPr>
      </w:pPr>
      <w:r w:rsidRPr="001C5F09">
        <w:rPr>
          <w:rFonts w:cs="Calibri"/>
        </w:rPr>
        <w:t>The following are the main themes for this fund;</w:t>
      </w:r>
    </w:p>
    <w:p w:rsidR="00C718A4" w:rsidRPr="001C5F09" w:rsidRDefault="00C718A4" w:rsidP="001C5F09">
      <w:pPr>
        <w:pStyle w:val="ListParagraph"/>
        <w:numPr>
          <w:ilvl w:val="0"/>
          <w:numId w:val="5"/>
        </w:numPr>
        <w:tabs>
          <w:tab w:val="left" w:pos="567"/>
        </w:tabs>
        <w:spacing w:after="240" w:line="240" w:lineRule="auto"/>
        <w:rPr>
          <w:rFonts w:cs="Calibri"/>
        </w:rPr>
      </w:pPr>
      <w:r w:rsidRPr="001C5F09">
        <w:rPr>
          <w:rFonts w:cs="Calibri"/>
        </w:rPr>
        <w:t>Poverty reduction (fuel, furniture, food)</w:t>
      </w:r>
      <w:r w:rsidR="00FC49E5" w:rsidRPr="001C5F09">
        <w:rPr>
          <w:rFonts w:cs="Calibri"/>
        </w:rPr>
        <w:t xml:space="preserve"> – to include Holiday Hunger initiatives </w:t>
      </w:r>
    </w:p>
    <w:p w:rsidR="00C718A4" w:rsidRPr="001C5F09" w:rsidRDefault="00C718A4" w:rsidP="001C5F09">
      <w:pPr>
        <w:pStyle w:val="ListParagraph"/>
        <w:numPr>
          <w:ilvl w:val="0"/>
          <w:numId w:val="5"/>
        </w:numPr>
        <w:tabs>
          <w:tab w:val="left" w:pos="567"/>
        </w:tabs>
        <w:spacing w:after="240" w:line="240" w:lineRule="auto"/>
        <w:rPr>
          <w:rFonts w:cs="Calibri"/>
        </w:rPr>
      </w:pPr>
      <w:r w:rsidRPr="001C5F09">
        <w:rPr>
          <w:rFonts w:cs="Calibri"/>
        </w:rPr>
        <w:t>Employment, training and volunteering opportunities</w:t>
      </w:r>
      <w:r w:rsidR="00340C49" w:rsidRPr="001C5F09">
        <w:rPr>
          <w:rFonts w:cs="Calibri"/>
        </w:rPr>
        <w:t>.</w:t>
      </w:r>
      <w:r w:rsidR="001B2FF1" w:rsidRPr="001C5F09">
        <w:rPr>
          <w:rFonts w:cs="Calibri"/>
        </w:rPr>
        <w:t xml:space="preserve"> </w:t>
      </w:r>
    </w:p>
    <w:p w:rsidR="00C718A4" w:rsidRPr="001C5F09" w:rsidRDefault="00086E91" w:rsidP="001C5F09">
      <w:pPr>
        <w:pStyle w:val="ListParagraph"/>
        <w:numPr>
          <w:ilvl w:val="0"/>
          <w:numId w:val="5"/>
        </w:numPr>
        <w:tabs>
          <w:tab w:val="left" w:pos="567"/>
        </w:tabs>
        <w:spacing w:after="240" w:line="240" w:lineRule="auto"/>
        <w:rPr>
          <w:rFonts w:cs="Calibri"/>
        </w:rPr>
      </w:pPr>
      <w:r w:rsidRPr="001C5F09">
        <w:rPr>
          <w:rFonts w:cs="Calibri"/>
        </w:rPr>
        <w:t>Financial</w:t>
      </w:r>
      <w:r w:rsidR="0072627E" w:rsidRPr="001C5F09">
        <w:rPr>
          <w:rFonts w:cs="Calibri"/>
        </w:rPr>
        <w:t xml:space="preserve"> and digital</w:t>
      </w:r>
      <w:r w:rsidRPr="001C5F09">
        <w:rPr>
          <w:rFonts w:cs="Calibri"/>
        </w:rPr>
        <w:t xml:space="preserve"> Inclusion</w:t>
      </w:r>
    </w:p>
    <w:p w:rsidR="00C60905" w:rsidRPr="001C5F09" w:rsidRDefault="00C60905" w:rsidP="001C5F09">
      <w:pPr>
        <w:pStyle w:val="ListParagraph"/>
        <w:numPr>
          <w:ilvl w:val="0"/>
          <w:numId w:val="5"/>
        </w:numPr>
        <w:tabs>
          <w:tab w:val="left" w:pos="567"/>
        </w:tabs>
        <w:spacing w:after="240" w:line="240" w:lineRule="auto"/>
        <w:rPr>
          <w:rFonts w:cs="Calibri"/>
        </w:rPr>
      </w:pPr>
      <w:r w:rsidRPr="001C5F09">
        <w:rPr>
          <w:rFonts w:cs="Calibri"/>
        </w:rPr>
        <w:t xml:space="preserve">Organisational resilience. </w:t>
      </w:r>
    </w:p>
    <w:p w:rsidR="00F36E29" w:rsidRPr="001C5F09" w:rsidRDefault="00340C49" w:rsidP="001C5F09">
      <w:pPr>
        <w:tabs>
          <w:tab w:val="left" w:pos="567"/>
        </w:tabs>
        <w:spacing w:after="240" w:line="240" w:lineRule="auto"/>
        <w:rPr>
          <w:rFonts w:cs="Calibri"/>
        </w:rPr>
      </w:pPr>
      <w:r w:rsidRPr="001C5F09">
        <w:rPr>
          <w:rFonts w:cs="Calibri"/>
        </w:rPr>
        <w:t>Applicants must demonstrate which of these themes their proposal, project or overall services supports and how Great Places customers and the wider community will benefit.</w:t>
      </w:r>
      <w:r w:rsidR="006C78A2" w:rsidRPr="001C5F09">
        <w:rPr>
          <w:rFonts w:cs="Calibri"/>
        </w:rPr>
        <w:t xml:space="preserve"> </w:t>
      </w:r>
    </w:p>
    <w:p w:rsidR="00F36E29" w:rsidRPr="001C5F09" w:rsidRDefault="00D30CB8" w:rsidP="001C5F09">
      <w:pPr>
        <w:tabs>
          <w:tab w:val="left" w:pos="567"/>
        </w:tabs>
        <w:spacing w:after="240" w:line="240" w:lineRule="auto"/>
        <w:contextualSpacing/>
        <w:rPr>
          <w:rFonts w:cs="Calibri"/>
          <w:b/>
        </w:rPr>
      </w:pPr>
      <w:r w:rsidRPr="001C5F09">
        <w:rPr>
          <w:rFonts w:cs="Calibri"/>
          <w:b/>
        </w:rPr>
        <w:t>4</w:t>
      </w:r>
      <w:r w:rsidR="00B865EE" w:rsidRPr="001C5F09">
        <w:rPr>
          <w:rFonts w:cs="Calibri"/>
          <w:b/>
        </w:rPr>
        <w:t xml:space="preserve">. </w:t>
      </w:r>
      <w:r w:rsidR="00F36E29" w:rsidRPr="001C5F09">
        <w:rPr>
          <w:rFonts w:cs="Calibri"/>
          <w:b/>
        </w:rPr>
        <w:t>Geographical locations</w:t>
      </w:r>
    </w:p>
    <w:p w:rsidR="00F36E29" w:rsidRPr="001C5F09" w:rsidRDefault="00F36E29" w:rsidP="001C5F09">
      <w:pPr>
        <w:tabs>
          <w:tab w:val="left" w:pos="567"/>
        </w:tabs>
        <w:spacing w:after="240" w:line="240" w:lineRule="auto"/>
        <w:contextualSpacing/>
        <w:rPr>
          <w:rFonts w:cs="Calibri"/>
          <w:b/>
        </w:rPr>
      </w:pPr>
    </w:p>
    <w:p w:rsidR="00F36E29" w:rsidRPr="001C5F09" w:rsidRDefault="009828C0" w:rsidP="001C5F09">
      <w:pPr>
        <w:tabs>
          <w:tab w:val="left" w:pos="567"/>
        </w:tabs>
        <w:spacing w:after="240" w:line="240" w:lineRule="auto"/>
        <w:contextualSpacing/>
        <w:rPr>
          <w:rFonts w:cs="Calibri"/>
        </w:rPr>
      </w:pPr>
      <w:r w:rsidRPr="001C5F09">
        <w:rPr>
          <w:rFonts w:cs="Calibri"/>
        </w:rPr>
        <w:t xml:space="preserve">Great Places is a traditional social landlord with homes across the North West and Yorkshire. We direct our resources to the neighbourhoods where they have most impact. </w:t>
      </w:r>
      <w:r w:rsidR="00F36E29" w:rsidRPr="001C5F09">
        <w:rPr>
          <w:rFonts w:cs="Calibri"/>
        </w:rPr>
        <w:t>T</w:t>
      </w:r>
      <w:r w:rsidR="00E973E2" w:rsidRPr="001C5F09">
        <w:rPr>
          <w:rFonts w:cs="Calibri"/>
        </w:rPr>
        <w:t xml:space="preserve">hese are defined below, primarily </w:t>
      </w:r>
      <w:r w:rsidR="00F36E29" w:rsidRPr="001C5F09">
        <w:rPr>
          <w:rFonts w:cs="Calibri"/>
        </w:rPr>
        <w:t>within council ward profiles.</w:t>
      </w:r>
    </w:p>
    <w:p w:rsidR="0062411B" w:rsidRPr="001C5F09" w:rsidRDefault="0062411B" w:rsidP="001C5F09">
      <w:pPr>
        <w:spacing w:after="150" w:line="240" w:lineRule="auto"/>
        <w:rPr>
          <w:rFonts w:cs="Calibri"/>
        </w:rPr>
      </w:pPr>
    </w:p>
    <w:p w:rsidR="000B75FE" w:rsidRPr="001C5F09" w:rsidRDefault="000B75FE" w:rsidP="001C5F09">
      <w:pPr>
        <w:spacing w:after="150" w:line="240" w:lineRule="auto"/>
        <w:rPr>
          <w:rFonts w:eastAsia="Times New Roman" w:cs="Helvetica"/>
          <w:lang w:val="en" w:eastAsia="en-GB"/>
        </w:rPr>
      </w:pPr>
      <w:r w:rsidRPr="001C5F09">
        <w:rPr>
          <w:rFonts w:eastAsia="Times New Roman" w:cs="Helvetica"/>
          <w:lang w:val="en" w:eastAsia="en-GB"/>
        </w:rPr>
        <w:t>Our aim is to support the community groups, charities and social enterprises that work within our neighbourhoods. Applications must come from groups providing services in or reasonably local to the following locations or wards:</w:t>
      </w:r>
    </w:p>
    <w:p w:rsidR="000B75FE" w:rsidRPr="001C5F09" w:rsidRDefault="000B75FE" w:rsidP="001C5F09">
      <w:pPr>
        <w:spacing w:after="150" w:line="240" w:lineRule="auto"/>
        <w:rPr>
          <w:rFonts w:eastAsia="Times New Roman" w:cs="Helvetica"/>
          <w:lang w:val="en" w:eastAsia="en-GB"/>
        </w:rPr>
      </w:pPr>
      <w:r w:rsidRPr="001C5F09">
        <w:rPr>
          <w:rFonts w:eastAsia="Times New Roman" w:cs="Helvetica"/>
          <w:b/>
          <w:bCs/>
          <w:i/>
          <w:iCs/>
          <w:lang w:val="en" w:eastAsia="en-GB"/>
        </w:rPr>
        <w:t>Greater Manchester</w:t>
      </w:r>
    </w:p>
    <w:p w:rsidR="000B75FE" w:rsidRPr="001C5F09" w:rsidRDefault="000B75FE" w:rsidP="001C5F09">
      <w:pPr>
        <w:numPr>
          <w:ilvl w:val="0"/>
          <w:numId w:val="27"/>
        </w:numPr>
        <w:spacing w:before="100" w:beforeAutospacing="1" w:after="100" w:afterAutospacing="1" w:line="240" w:lineRule="auto"/>
        <w:ind w:left="495"/>
        <w:rPr>
          <w:rFonts w:eastAsia="Times New Roman" w:cs="Helvetica"/>
          <w:lang w:val="en" w:eastAsia="en-GB"/>
        </w:rPr>
      </w:pPr>
      <w:r w:rsidRPr="001C5F09">
        <w:rPr>
          <w:rFonts w:eastAsia="Times New Roman" w:cs="Helvetica"/>
          <w:lang w:val="en" w:eastAsia="en-GB"/>
        </w:rPr>
        <w:t>Longsight and Levenshulme Ward</w:t>
      </w:r>
    </w:p>
    <w:p w:rsidR="000B75FE" w:rsidRPr="001C5F09" w:rsidRDefault="000B75FE" w:rsidP="001C5F09">
      <w:pPr>
        <w:numPr>
          <w:ilvl w:val="0"/>
          <w:numId w:val="27"/>
        </w:numPr>
        <w:spacing w:before="100" w:beforeAutospacing="1" w:after="100" w:afterAutospacing="1" w:line="240" w:lineRule="auto"/>
        <w:ind w:left="495"/>
        <w:rPr>
          <w:rFonts w:eastAsia="Times New Roman" w:cs="Helvetica"/>
          <w:lang w:val="en" w:eastAsia="en-GB"/>
        </w:rPr>
      </w:pPr>
      <w:r w:rsidRPr="001C5F09">
        <w:rPr>
          <w:rFonts w:eastAsia="Times New Roman" w:cs="Helvetica"/>
          <w:lang w:val="en" w:eastAsia="en-GB"/>
        </w:rPr>
        <w:t xml:space="preserve">Langworthy and Seedley Ward </w:t>
      </w:r>
    </w:p>
    <w:p w:rsidR="000B75FE" w:rsidRPr="001C5F09" w:rsidRDefault="000B75FE" w:rsidP="001C5F09">
      <w:pPr>
        <w:numPr>
          <w:ilvl w:val="0"/>
          <w:numId w:val="27"/>
        </w:numPr>
        <w:spacing w:before="100" w:beforeAutospacing="1" w:after="100" w:afterAutospacing="1" w:line="240" w:lineRule="auto"/>
        <w:ind w:left="495"/>
        <w:rPr>
          <w:rFonts w:eastAsia="Times New Roman" w:cs="Helvetica"/>
          <w:lang w:val="en" w:eastAsia="en-GB"/>
        </w:rPr>
      </w:pPr>
      <w:r w:rsidRPr="001C5F09">
        <w:rPr>
          <w:rFonts w:eastAsia="Times New Roman" w:cs="Helvetica"/>
          <w:lang w:val="en" w:eastAsia="en-GB"/>
        </w:rPr>
        <w:t>Knutsford (Overward Ward)</w:t>
      </w:r>
    </w:p>
    <w:p w:rsidR="000B75FE" w:rsidRPr="001C5F09" w:rsidRDefault="000B75FE" w:rsidP="001C5F09">
      <w:pPr>
        <w:numPr>
          <w:ilvl w:val="0"/>
          <w:numId w:val="27"/>
        </w:numPr>
        <w:spacing w:before="100" w:beforeAutospacing="1" w:after="100" w:afterAutospacing="1" w:line="240" w:lineRule="auto"/>
        <w:ind w:left="495"/>
        <w:rPr>
          <w:rFonts w:eastAsia="Times New Roman" w:cs="Helvetica"/>
          <w:lang w:val="en" w:eastAsia="en-GB"/>
        </w:rPr>
      </w:pPr>
      <w:r w:rsidRPr="001C5F09">
        <w:rPr>
          <w:rFonts w:eastAsia="Times New Roman" w:cs="Helvetica"/>
          <w:lang w:val="en" w:eastAsia="en-GB"/>
        </w:rPr>
        <w:t>Bolton, Wigan &amp; Leigh, Rochdale, Salford, Oldham</w:t>
      </w:r>
      <w:r w:rsidR="006C7BC7" w:rsidRPr="001C5F09">
        <w:rPr>
          <w:rFonts w:eastAsia="Times New Roman" w:cs="Helvetica"/>
          <w:lang w:val="en" w:eastAsia="en-GB"/>
        </w:rPr>
        <w:t xml:space="preserve"> &amp; Bury</w:t>
      </w:r>
    </w:p>
    <w:p w:rsidR="0062411B" w:rsidRPr="001C5F09" w:rsidRDefault="0062411B" w:rsidP="001C5F09">
      <w:pPr>
        <w:spacing w:after="150" w:line="240" w:lineRule="auto"/>
        <w:rPr>
          <w:rFonts w:eastAsia="Times New Roman" w:cs="Helvetica"/>
          <w:b/>
          <w:bCs/>
          <w:i/>
          <w:iCs/>
          <w:lang w:val="en" w:eastAsia="en-GB"/>
        </w:rPr>
      </w:pPr>
    </w:p>
    <w:p w:rsidR="0062411B" w:rsidRPr="001C5F09" w:rsidRDefault="0062411B" w:rsidP="001C5F09">
      <w:pPr>
        <w:spacing w:after="150" w:line="240" w:lineRule="auto"/>
        <w:rPr>
          <w:rFonts w:eastAsia="Times New Roman" w:cs="Helvetica"/>
          <w:b/>
          <w:bCs/>
          <w:i/>
          <w:iCs/>
          <w:lang w:val="en" w:eastAsia="en-GB"/>
        </w:rPr>
      </w:pPr>
    </w:p>
    <w:p w:rsidR="000B75FE" w:rsidRPr="001C5F09" w:rsidRDefault="000B75FE" w:rsidP="001C5F09">
      <w:pPr>
        <w:spacing w:after="150" w:line="240" w:lineRule="auto"/>
        <w:rPr>
          <w:rFonts w:eastAsia="Times New Roman" w:cs="Helvetica"/>
          <w:lang w:val="en" w:eastAsia="en-GB"/>
        </w:rPr>
      </w:pPr>
      <w:r w:rsidRPr="001C5F09">
        <w:rPr>
          <w:rFonts w:eastAsia="Times New Roman" w:cs="Helvetica"/>
          <w:b/>
          <w:bCs/>
          <w:i/>
          <w:iCs/>
          <w:lang w:val="en" w:eastAsia="en-GB"/>
        </w:rPr>
        <w:lastRenderedPageBreak/>
        <w:t>Yorkshire</w:t>
      </w:r>
    </w:p>
    <w:p w:rsidR="000B75FE" w:rsidRPr="001C5F09" w:rsidRDefault="000B75FE" w:rsidP="001C5F09">
      <w:pPr>
        <w:numPr>
          <w:ilvl w:val="0"/>
          <w:numId w:val="28"/>
        </w:numPr>
        <w:spacing w:before="100" w:beforeAutospacing="1" w:after="100" w:afterAutospacing="1" w:line="240" w:lineRule="auto"/>
        <w:ind w:left="495"/>
        <w:rPr>
          <w:rFonts w:eastAsia="Times New Roman" w:cs="Helvetica"/>
          <w:lang w:val="en" w:eastAsia="en-GB"/>
        </w:rPr>
      </w:pPr>
      <w:r w:rsidRPr="001C5F09">
        <w:rPr>
          <w:rFonts w:eastAsia="Times New Roman" w:cs="Helvetica"/>
          <w:lang w:val="en" w:eastAsia="en-GB"/>
        </w:rPr>
        <w:t>Sheffield (Manor Castle Ward - supporting Wybourn residents)</w:t>
      </w:r>
    </w:p>
    <w:p w:rsidR="000B75FE" w:rsidRPr="001C5F09" w:rsidRDefault="000B75FE" w:rsidP="001C5F09">
      <w:pPr>
        <w:numPr>
          <w:ilvl w:val="0"/>
          <w:numId w:val="28"/>
        </w:numPr>
        <w:spacing w:before="100" w:beforeAutospacing="1" w:after="100" w:afterAutospacing="1" w:line="240" w:lineRule="auto"/>
        <w:ind w:left="495"/>
        <w:rPr>
          <w:rFonts w:eastAsia="Times New Roman" w:cs="Helvetica"/>
          <w:lang w:val="en" w:eastAsia="en-GB"/>
        </w:rPr>
      </w:pPr>
      <w:r w:rsidRPr="001C5F09">
        <w:rPr>
          <w:rFonts w:eastAsia="Times New Roman" w:cs="Helvetica"/>
          <w:lang w:val="en" w:eastAsia="en-GB"/>
        </w:rPr>
        <w:t>Sheffield (Richmond Ward - supporting Richmond Park residents)</w:t>
      </w:r>
    </w:p>
    <w:p w:rsidR="000B75FE" w:rsidRPr="001C5F09" w:rsidRDefault="000B75FE" w:rsidP="001C5F09">
      <w:pPr>
        <w:spacing w:after="150" w:line="240" w:lineRule="auto"/>
        <w:rPr>
          <w:rFonts w:eastAsia="Times New Roman" w:cs="Helvetica"/>
          <w:lang w:val="en" w:eastAsia="en-GB"/>
        </w:rPr>
      </w:pPr>
      <w:r w:rsidRPr="001C5F09">
        <w:rPr>
          <w:rFonts w:eastAsia="Times New Roman" w:cs="Helvetica"/>
          <w:b/>
          <w:bCs/>
          <w:i/>
          <w:iCs/>
          <w:lang w:val="en" w:eastAsia="en-GB"/>
        </w:rPr>
        <w:t>Lancashire</w:t>
      </w:r>
    </w:p>
    <w:p w:rsidR="000B75FE" w:rsidRPr="001C5F09" w:rsidRDefault="000B75FE" w:rsidP="001C5F09">
      <w:pPr>
        <w:numPr>
          <w:ilvl w:val="0"/>
          <w:numId w:val="29"/>
        </w:numPr>
        <w:spacing w:before="100" w:beforeAutospacing="1" w:after="100" w:afterAutospacing="1" w:line="240" w:lineRule="auto"/>
        <w:ind w:left="495"/>
        <w:rPr>
          <w:rFonts w:eastAsia="Times New Roman" w:cs="Helvetica"/>
          <w:lang w:val="en" w:eastAsia="en-GB"/>
        </w:rPr>
      </w:pPr>
      <w:r w:rsidRPr="001C5F09">
        <w:rPr>
          <w:rFonts w:eastAsia="Times New Roman" w:cs="Helvetica"/>
          <w:lang w:val="en" w:eastAsia="en-GB"/>
        </w:rPr>
        <w:t>Blackpool (Ansdell Ward)</w:t>
      </w:r>
    </w:p>
    <w:p w:rsidR="000B75FE" w:rsidRPr="001C5F09" w:rsidRDefault="000B75FE" w:rsidP="001C5F09">
      <w:pPr>
        <w:numPr>
          <w:ilvl w:val="0"/>
          <w:numId w:val="29"/>
        </w:numPr>
        <w:spacing w:before="100" w:beforeAutospacing="1" w:after="100" w:afterAutospacing="1" w:line="240" w:lineRule="auto"/>
        <w:ind w:left="495"/>
        <w:rPr>
          <w:rFonts w:eastAsia="Times New Roman" w:cs="Helvetica"/>
          <w:lang w:val="en" w:eastAsia="en-GB"/>
        </w:rPr>
      </w:pPr>
      <w:r w:rsidRPr="001C5F09">
        <w:rPr>
          <w:rFonts w:eastAsia="Times New Roman" w:cs="Helvetica"/>
          <w:lang w:val="en" w:eastAsia="en-GB"/>
        </w:rPr>
        <w:t>Blackpool (Claremont Ward)</w:t>
      </w:r>
    </w:p>
    <w:p w:rsidR="000B75FE" w:rsidRPr="001C5F09" w:rsidRDefault="000B75FE" w:rsidP="001C5F09">
      <w:pPr>
        <w:numPr>
          <w:ilvl w:val="0"/>
          <w:numId w:val="29"/>
        </w:numPr>
        <w:spacing w:before="100" w:beforeAutospacing="1" w:after="100" w:afterAutospacing="1" w:line="240" w:lineRule="auto"/>
        <w:ind w:left="495"/>
        <w:rPr>
          <w:rFonts w:eastAsia="Times New Roman" w:cs="Helvetica"/>
          <w:lang w:val="en" w:eastAsia="en-GB"/>
        </w:rPr>
      </w:pPr>
      <w:r w:rsidRPr="001C5F09">
        <w:rPr>
          <w:rFonts w:eastAsia="Times New Roman" w:cs="Helvetica"/>
          <w:lang w:val="en" w:eastAsia="en-GB"/>
        </w:rPr>
        <w:t>Morecambe (Poulton Ward)</w:t>
      </w:r>
    </w:p>
    <w:p w:rsidR="000B75FE" w:rsidRPr="001C5F09" w:rsidRDefault="000B75FE" w:rsidP="001C5F09">
      <w:pPr>
        <w:numPr>
          <w:ilvl w:val="0"/>
          <w:numId w:val="29"/>
        </w:numPr>
        <w:spacing w:before="100" w:beforeAutospacing="1" w:after="100" w:afterAutospacing="1" w:line="240" w:lineRule="auto"/>
        <w:ind w:left="495"/>
        <w:rPr>
          <w:rFonts w:eastAsia="Times New Roman" w:cs="Helvetica"/>
          <w:lang w:val="en" w:eastAsia="en-GB"/>
        </w:rPr>
      </w:pPr>
      <w:r w:rsidRPr="001C5F09">
        <w:rPr>
          <w:rFonts w:eastAsia="Times New Roman" w:cs="Helvetica"/>
          <w:lang w:val="en" w:eastAsia="en-GB"/>
        </w:rPr>
        <w:t>Burnley (Daneshouse with Stoneyholme Ward)</w:t>
      </w:r>
    </w:p>
    <w:p w:rsidR="008A22E3" w:rsidRPr="001C5F09" w:rsidRDefault="008A22E3" w:rsidP="001C5F09">
      <w:pPr>
        <w:spacing w:before="100" w:beforeAutospacing="1" w:after="100" w:afterAutospacing="1" w:line="240" w:lineRule="auto"/>
        <w:rPr>
          <w:rFonts w:eastAsia="Times New Roman" w:cs="Helvetica"/>
          <w:b/>
          <w:lang w:val="en" w:eastAsia="en-GB"/>
        </w:rPr>
      </w:pPr>
      <w:r w:rsidRPr="001C5F09">
        <w:rPr>
          <w:rFonts w:eastAsia="Times New Roman" w:cs="Helvetica"/>
          <w:b/>
          <w:lang w:val="en" w:eastAsia="en-GB"/>
        </w:rPr>
        <w:t xml:space="preserve">Equity Region </w:t>
      </w:r>
    </w:p>
    <w:p w:rsidR="008A22E3" w:rsidRPr="001C5F09" w:rsidRDefault="008A22E3" w:rsidP="001C5F09">
      <w:pPr>
        <w:pStyle w:val="ListParagraph"/>
        <w:numPr>
          <w:ilvl w:val="0"/>
          <w:numId w:val="30"/>
        </w:numPr>
        <w:spacing w:before="100" w:beforeAutospacing="1" w:after="100" w:afterAutospacing="1" w:line="240" w:lineRule="auto"/>
        <w:rPr>
          <w:rFonts w:eastAsia="Times New Roman" w:cs="Helvetica"/>
          <w:lang w:val="en" w:eastAsia="en-GB"/>
        </w:rPr>
      </w:pPr>
      <w:r w:rsidRPr="001C5F09">
        <w:rPr>
          <w:rFonts w:eastAsia="Times New Roman" w:cs="Helvetica"/>
          <w:lang w:val="en" w:eastAsia="en-GB"/>
        </w:rPr>
        <w:t xml:space="preserve">Stockport </w:t>
      </w:r>
    </w:p>
    <w:p w:rsidR="0038012E" w:rsidRPr="001C5F09" w:rsidRDefault="008A22E3" w:rsidP="001C5F09">
      <w:pPr>
        <w:pStyle w:val="ListParagraph"/>
        <w:numPr>
          <w:ilvl w:val="0"/>
          <w:numId w:val="30"/>
        </w:numPr>
        <w:spacing w:before="100" w:beforeAutospacing="1" w:after="100" w:afterAutospacing="1" w:line="240" w:lineRule="auto"/>
        <w:rPr>
          <w:rFonts w:eastAsia="Times New Roman" w:cs="Helvetica"/>
          <w:lang w:val="en" w:eastAsia="en-GB"/>
        </w:rPr>
      </w:pPr>
      <w:r w:rsidRPr="001C5F09">
        <w:rPr>
          <w:rFonts w:eastAsia="Times New Roman" w:cs="Helvetica"/>
          <w:lang w:val="en" w:eastAsia="en-GB"/>
        </w:rPr>
        <w:t xml:space="preserve">High Peak </w:t>
      </w:r>
      <w:r w:rsidR="003F5303">
        <w:rPr>
          <w:rFonts w:eastAsia="Times New Roman" w:cs="Helvetica"/>
          <w:lang w:val="en" w:eastAsia="en-GB"/>
        </w:rPr>
        <w:t>– mini grants only</w:t>
      </w:r>
    </w:p>
    <w:p w:rsidR="00340C49" w:rsidRPr="001C5F09" w:rsidRDefault="00B865EE" w:rsidP="001C5F09">
      <w:pPr>
        <w:spacing w:after="0" w:line="240" w:lineRule="auto"/>
        <w:rPr>
          <w:b/>
        </w:rPr>
      </w:pPr>
      <w:r w:rsidRPr="001C5F09">
        <w:rPr>
          <w:b/>
        </w:rPr>
        <w:t xml:space="preserve">6. </w:t>
      </w:r>
      <w:r w:rsidR="00B45DE1" w:rsidRPr="001C5F09">
        <w:rPr>
          <w:b/>
        </w:rPr>
        <w:t>Eligibility Criteria</w:t>
      </w:r>
      <w:r w:rsidR="00D30CB8" w:rsidRPr="001C5F09">
        <w:rPr>
          <w:b/>
        </w:rPr>
        <w:t xml:space="preserve"> and </w:t>
      </w:r>
      <w:r w:rsidR="00610E72" w:rsidRPr="001C5F09">
        <w:rPr>
          <w:b/>
        </w:rPr>
        <w:t>amounts –</w:t>
      </w:r>
      <w:r w:rsidR="00340C49" w:rsidRPr="001C5F09">
        <w:rPr>
          <w:b/>
        </w:rPr>
        <w:t xml:space="preserve"> who can apply?</w:t>
      </w:r>
    </w:p>
    <w:p w:rsidR="0038012E" w:rsidRPr="001C5F09" w:rsidRDefault="000B75FE" w:rsidP="001C5F09">
      <w:pPr>
        <w:spacing w:after="0" w:line="240" w:lineRule="auto"/>
      </w:pPr>
      <w:r w:rsidRPr="001C5F09">
        <w:t xml:space="preserve">The following is a </w:t>
      </w:r>
      <w:r w:rsidR="00E973E2" w:rsidRPr="001C5F09">
        <w:t xml:space="preserve">list of who can or can’t apply and amounts available. </w:t>
      </w:r>
    </w:p>
    <w:p w:rsidR="00217ED2" w:rsidRPr="001C5F09" w:rsidRDefault="00217ED2" w:rsidP="001C5F09">
      <w:pPr>
        <w:spacing w:after="0" w:line="240" w:lineRule="auto"/>
      </w:pPr>
    </w:p>
    <w:p w:rsidR="00217ED2" w:rsidRPr="001C5F09" w:rsidRDefault="00217ED2" w:rsidP="001C5F09">
      <w:pPr>
        <w:spacing w:after="0" w:line="240" w:lineRule="auto"/>
      </w:pPr>
      <w:r w:rsidRPr="001C5F09">
        <w:t xml:space="preserve">There will be two amounts available and organisations can apply once only; </w:t>
      </w:r>
    </w:p>
    <w:p w:rsidR="00217ED2" w:rsidRPr="001C5F09" w:rsidRDefault="00217ED2" w:rsidP="001C5F09">
      <w:pPr>
        <w:spacing w:after="0" w:line="240" w:lineRule="auto"/>
      </w:pPr>
      <w:r w:rsidRPr="001C5F09">
        <w:t>Mini – Up to £500</w:t>
      </w:r>
    </w:p>
    <w:p w:rsidR="00217ED2" w:rsidRPr="001C5F09" w:rsidRDefault="00217ED2" w:rsidP="001C5F09">
      <w:pPr>
        <w:spacing w:after="0" w:line="240" w:lineRule="auto"/>
      </w:pPr>
      <w:r w:rsidRPr="001C5F09">
        <w:t>Medium – up to £3,000</w:t>
      </w:r>
    </w:p>
    <w:p w:rsidR="00BE1149" w:rsidRPr="001C5F09" w:rsidRDefault="00BE1149" w:rsidP="001C5F09">
      <w:pPr>
        <w:spacing w:after="0" w:line="240" w:lineRule="auto"/>
      </w:pPr>
    </w:p>
    <w:p w:rsidR="00217ED2" w:rsidRPr="001C5F09" w:rsidRDefault="00217ED2" w:rsidP="001C5F09">
      <w:pPr>
        <w:spacing w:after="0" w:line="240" w:lineRule="auto"/>
      </w:pPr>
      <w:r w:rsidRPr="001C5F09">
        <w:t xml:space="preserve">The following can apply </w:t>
      </w:r>
    </w:p>
    <w:p w:rsidR="00217ED2" w:rsidRPr="001C5F09" w:rsidRDefault="00217ED2" w:rsidP="001C5F09">
      <w:pPr>
        <w:pStyle w:val="ListParagraph"/>
        <w:numPr>
          <w:ilvl w:val="0"/>
          <w:numId w:val="31"/>
        </w:numPr>
        <w:spacing w:after="0" w:line="240" w:lineRule="auto"/>
      </w:pPr>
      <w:r w:rsidRPr="001C5F09">
        <w:t>Constituted Voluntary and Community groups with their own bank account</w:t>
      </w:r>
    </w:p>
    <w:p w:rsidR="00217ED2" w:rsidRPr="001C5F09" w:rsidRDefault="00217ED2" w:rsidP="001C5F09">
      <w:pPr>
        <w:pStyle w:val="ListParagraph"/>
        <w:numPr>
          <w:ilvl w:val="0"/>
          <w:numId w:val="31"/>
        </w:numPr>
        <w:spacing w:line="240" w:lineRule="auto"/>
      </w:pPr>
      <w:r w:rsidRPr="001C5F09">
        <w:t>Community Interest Companies</w:t>
      </w:r>
    </w:p>
    <w:p w:rsidR="00217ED2" w:rsidRPr="001C5F09" w:rsidRDefault="00217ED2" w:rsidP="001C5F09">
      <w:pPr>
        <w:pStyle w:val="ListParagraph"/>
        <w:numPr>
          <w:ilvl w:val="0"/>
          <w:numId w:val="31"/>
        </w:numPr>
        <w:spacing w:after="0" w:line="240" w:lineRule="auto"/>
      </w:pPr>
      <w:r w:rsidRPr="001C5F09">
        <w:t>Registered  and Exempt Charities</w:t>
      </w:r>
    </w:p>
    <w:p w:rsidR="00217ED2" w:rsidRPr="001C5F09" w:rsidRDefault="00217ED2" w:rsidP="001C5F09">
      <w:pPr>
        <w:pStyle w:val="ListParagraph"/>
        <w:numPr>
          <w:ilvl w:val="0"/>
          <w:numId w:val="31"/>
        </w:numPr>
        <w:spacing w:after="0" w:line="240" w:lineRule="auto"/>
      </w:pPr>
      <w:r w:rsidRPr="001C5F09">
        <w:t>Not for profit companies and or Social Enterprise with a different recognised legal entity</w:t>
      </w:r>
    </w:p>
    <w:p w:rsidR="00BE1149" w:rsidRPr="001C5F09" w:rsidRDefault="00BE1149" w:rsidP="001C5F09">
      <w:pPr>
        <w:spacing w:after="0" w:line="240" w:lineRule="auto"/>
        <w:rPr>
          <w:b/>
        </w:rPr>
      </w:pPr>
    </w:p>
    <w:p w:rsidR="00BE1149" w:rsidRPr="001C5F09" w:rsidRDefault="00BE1149" w:rsidP="001C5F09">
      <w:pPr>
        <w:spacing w:after="0" w:line="240" w:lineRule="auto"/>
        <w:rPr>
          <w:b/>
        </w:rPr>
      </w:pPr>
      <w:r w:rsidRPr="001C5F09">
        <w:t>The</w:t>
      </w:r>
      <w:r w:rsidRPr="001C5F09">
        <w:rPr>
          <w:b/>
        </w:rPr>
        <w:t xml:space="preserve"> Mini grant </w:t>
      </w:r>
      <w:r w:rsidRPr="001C5F09">
        <w:t xml:space="preserve">is intended for </w:t>
      </w:r>
      <w:r w:rsidR="00E54AE0" w:rsidRPr="001C5F09">
        <w:t>small projects or interventions which meet the criteria of this fund</w:t>
      </w:r>
    </w:p>
    <w:p w:rsidR="00BE1149" w:rsidRPr="001C5F09" w:rsidRDefault="00BE1149" w:rsidP="001C5F09">
      <w:pPr>
        <w:spacing w:after="0" w:line="240" w:lineRule="auto"/>
        <w:rPr>
          <w:b/>
        </w:rPr>
      </w:pPr>
    </w:p>
    <w:p w:rsidR="00BE1149" w:rsidRPr="001C5F09" w:rsidRDefault="00BE1149" w:rsidP="001C5F09">
      <w:pPr>
        <w:spacing w:after="0" w:line="240" w:lineRule="auto"/>
        <w:rPr>
          <w:b/>
        </w:rPr>
      </w:pPr>
      <w:r w:rsidRPr="001C5F09">
        <w:t>The</w:t>
      </w:r>
      <w:r w:rsidRPr="001C5F09">
        <w:rPr>
          <w:b/>
        </w:rPr>
        <w:t xml:space="preserve"> Medium grant</w:t>
      </w:r>
      <w:r w:rsidR="00E54AE0" w:rsidRPr="001C5F09">
        <w:rPr>
          <w:b/>
        </w:rPr>
        <w:t xml:space="preserve"> </w:t>
      </w:r>
      <w:r w:rsidR="00E54AE0" w:rsidRPr="001C5F09">
        <w:t>is intended for</w:t>
      </w:r>
      <w:r w:rsidRPr="001C5F09">
        <w:rPr>
          <w:b/>
        </w:rPr>
        <w:t xml:space="preserve"> core costs </w:t>
      </w:r>
      <w:r w:rsidR="00E54AE0" w:rsidRPr="001C5F09">
        <w:t xml:space="preserve">as regards contributing to your organisations resilience however may be also be applied for towards project specific costs. </w:t>
      </w:r>
    </w:p>
    <w:p w:rsidR="00BE1149" w:rsidRPr="001C5F09" w:rsidRDefault="00BE1149" w:rsidP="001C5F09">
      <w:pPr>
        <w:spacing w:after="0" w:line="240" w:lineRule="auto"/>
        <w:rPr>
          <w:b/>
        </w:rPr>
      </w:pPr>
    </w:p>
    <w:p w:rsidR="00217ED2" w:rsidRPr="001C5F09" w:rsidRDefault="00217ED2" w:rsidP="001C5F09">
      <w:pPr>
        <w:spacing w:after="0" w:line="240" w:lineRule="auto"/>
        <w:rPr>
          <w:b/>
        </w:rPr>
      </w:pPr>
      <w:r w:rsidRPr="001C5F09">
        <w:rPr>
          <w:b/>
        </w:rPr>
        <w:t xml:space="preserve">Timescales </w:t>
      </w:r>
    </w:p>
    <w:p w:rsidR="00BE1149" w:rsidRPr="001C5F09" w:rsidRDefault="00BE1149" w:rsidP="001C5F09">
      <w:pPr>
        <w:spacing w:after="0" w:line="240" w:lineRule="auto"/>
        <w:rPr>
          <w:b/>
        </w:rPr>
      </w:pPr>
    </w:p>
    <w:p w:rsidR="00BE1149" w:rsidRPr="001C5F09" w:rsidRDefault="00BE1149" w:rsidP="001C5F09">
      <w:pPr>
        <w:spacing w:after="0" w:line="240" w:lineRule="auto"/>
        <w:rPr>
          <w:rFonts w:cs="Calibri"/>
          <w:b/>
          <w:bCs/>
        </w:rPr>
      </w:pPr>
      <w:r w:rsidRPr="001C5F09">
        <w:t xml:space="preserve">The deadline for applications is </w:t>
      </w:r>
      <w:r w:rsidRPr="001C5F09">
        <w:rPr>
          <w:rFonts w:cs="Calibri"/>
          <w:b/>
          <w:bCs/>
        </w:rPr>
        <w:t>Tuesday 13</w:t>
      </w:r>
      <w:r w:rsidRPr="001C5F09">
        <w:rPr>
          <w:rFonts w:cs="Calibri"/>
          <w:b/>
          <w:bCs/>
          <w:vertAlign w:val="superscript"/>
        </w:rPr>
        <w:t>th</w:t>
      </w:r>
      <w:r w:rsidRPr="001C5F09">
        <w:rPr>
          <w:rFonts w:cs="Calibri"/>
          <w:b/>
          <w:bCs/>
        </w:rPr>
        <w:t xml:space="preserve"> January 2021, 12 noon   </w:t>
      </w:r>
    </w:p>
    <w:p w:rsidR="00DE541A" w:rsidRPr="001C5F09" w:rsidRDefault="00DE541A" w:rsidP="001C5F09">
      <w:pPr>
        <w:spacing w:after="0" w:line="240" w:lineRule="auto"/>
        <w:rPr>
          <w:rFonts w:cs="Calibri"/>
          <w:bCs/>
        </w:rPr>
      </w:pPr>
    </w:p>
    <w:p w:rsidR="00E54AE0" w:rsidRPr="001C5F09" w:rsidRDefault="00E54AE0" w:rsidP="001C5F09">
      <w:pPr>
        <w:spacing w:after="0" w:line="240" w:lineRule="auto"/>
        <w:rPr>
          <w:rFonts w:cs="Calibri"/>
          <w:bCs/>
        </w:rPr>
      </w:pPr>
      <w:r w:rsidRPr="001C5F09">
        <w:rPr>
          <w:rFonts w:cs="Calibri"/>
          <w:bCs/>
        </w:rPr>
        <w:t xml:space="preserve">Decisions will be made by Great Places staff by </w:t>
      </w:r>
      <w:r w:rsidRPr="001C5F09">
        <w:rPr>
          <w:rFonts w:cs="Calibri"/>
          <w:b/>
          <w:bCs/>
        </w:rPr>
        <w:t>Tuesday 19</w:t>
      </w:r>
      <w:r w:rsidRPr="001C5F09">
        <w:rPr>
          <w:rFonts w:cs="Calibri"/>
          <w:b/>
          <w:bCs/>
          <w:vertAlign w:val="superscript"/>
        </w:rPr>
        <w:t>th</w:t>
      </w:r>
      <w:r w:rsidRPr="001C5F09">
        <w:rPr>
          <w:rFonts w:cs="Calibri"/>
          <w:b/>
          <w:bCs/>
        </w:rPr>
        <w:t xml:space="preserve"> January</w:t>
      </w:r>
      <w:r w:rsidR="00DE541A" w:rsidRPr="001C5F09">
        <w:rPr>
          <w:rFonts w:cs="Calibri"/>
          <w:bCs/>
        </w:rPr>
        <w:t xml:space="preserve"> </w:t>
      </w:r>
      <w:r w:rsidR="00610E72" w:rsidRPr="001C5F09">
        <w:rPr>
          <w:rFonts w:cs="Calibri"/>
          <w:b/>
          <w:bCs/>
        </w:rPr>
        <w:t>2021</w:t>
      </w:r>
      <w:r w:rsidR="00610E72" w:rsidRPr="001C5F09">
        <w:rPr>
          <w:rFonts w:cs="Calibri"/>
          <w:bCs/>
        </w:rPr>
        <w:t xml:space="preserve"> and</w:t>
      </w:r>
      <w:r w:rsidR="00DE541A" w:rsidRPr="001C5F09">
        <w:rPr>
          <w:rFonts w:cs="Calibri"/>
          <w:bCs/>
        </w:rPr>
        <w:t xml:space="preserve"> we aim </w:t>
      </w:r>
      <w:r w:rsidR="00610E72" w:rsidRPr="001C5F09">
        <w:rPr>
          <w:rFonts w:cs="Calibri"/>
          <w:bCs/>
        </w:rPr>
        <w:t>to communicate</w:t>
      </w:r>
      <w:r w:rsidR="00DE541A" w:rsidRPr="001C5F09">
        <w:rPr>
          <w:rFonts w:cs="Calibri"/>
          <w:bCs/>
        </w:rPr>
        <w:t xml:space="preserve"> decisions</w:t>
      </w:r>
      <w:r w:rsidRPr="001C5F09">
        <w:rPr>
          <w:rFonts w:cs="Calibri"/>
          <w:bCs/>
        </w:rPr>
        <w:t xml:space="preserve"> to applicants the same day</w:t>
      </w:r>
      <w:r w:rsidR="00DE541A" w:rsidRPr="001C5F09">
        <w:rPr>
          <w:rFonts w:cs="Calibri"/>
          <w:bCs/>
        </w:rPr>
        <w:t>.</w:t>
      </w:r>
    </w:p>
    <w:p w:rsidR="00DE541A" w:rsidRPr="001C5F09" w:rsidRDefault="00DE541A" w:rsidP="001C5F09">
      <w:pPr>
        <w:spacing w:after="0" w:line="240" w:lineRule="auto"/>
        <w:rPr>
          <w:rFonts w:cs="Calibri"/>
          <w:bCs/>
        </w:rPr>
      </w:pPr>
    </w:p>
    <w:p w:rsidR="00DE541A" w:rsidRPr="001C5F09" w:rsidRDefault="00DE541A" w:rsidP="001C5F09">
      <w:pPr>
        <w:spacing w:after="0" w:line="240" w:lineRule="auto"/>
        <w:rPr>
          <w:rFonts w:cs="Calibri"/>
          <w:bCs/>
        </w:rPr>
      </w:pPr>
      <w:r w:rsidRPr="001C5F09">
        <w:rPr>
          <w:rFonts w:cs="Calibri"/>
          <w:bCs/>
        </w:rPr>
        <w:t xml:space="preserve">If successful organisations will be expected to return our Terms and Conditions document with bank details by </w:t>
      </w:r>
      <w:r w:rsidRPr="001C5F09">
        <w:rPr>
          <w:rFonts w:cs="Calibri"/>
          <w:b/>
          <w:bCs/>
        </w:rPr>
        <w:t>Friday 22</w:t>
      </w:r>
      <w:r w:rsidRPr="001C5F09">
        <w:rPr>
          <w:rFonts w:cs="Calibri"/>
          <w:b/>
          <w:bCs/>
          <w:vertAlign w:val="superscript"/>
        </w:rPr>
        <w:t>nd</w:t>
      </w:r>
      <w:r w:rsidRPr="001C5F09">
        <w:rPr>
          <w:rFonts w:cs="Calibri"/>
          <w:b/>
          <w:bCs/>
        </w:rPr>
        <w:t xml:space="preserve"> January 12 </w:t>
      </w:r>
      <w:r w:rsidR="00610E72" w:rsidRPr="001C5F09">
        <w:rPr>
          <w:rFonts w:cs="Calibri"/>
          <w:b/>
          <w:bCs/>
        </w:rPr>
        <w:t xml:space="preserve">noon. </w:t>
      </w:r>
      <w:r w:rsidRPr="001C5F09">
        <w:rPr>
          <w:rFonts w:cs="Calibri"/>
          <w:bCs/>
        </w:rPr>
        <w:t>This is to allow time for a call ba</w:t>
      </w:r>
      <w:r w:rsidR="00961958" w:rsidRPr="001C5F09">
        <w:rPr>
          <w:rFonts w:cs="Calibri"/>
          <w:bCs/>
        </w:rPr>
        <w:t xml:space="preserve">ck from our Finance team to verify organisational bank details. </w:t>
      </w:r>
    </w:p>
    <w:p w:rsidR="00BE1149" w:rsidRPr="001C5F09" w:rsidRDefault="00BE1149" w:rsidP="001C5F09">
      <w:pPr>
        <w:spacing w:after="0" w:line="240" w:lineRule="auto"/>
        <w:rPr>
          <w:rFonts w:cs="Calibri"/>
          <w:b/>
          <w:bCs/>
        </w:rPr>
      </w:pPr>
    </w:p>
    <w:p w:rsidR="00217ED2" w:rsidRPr="001C5F09" w:rsidRDefault="00217ED2" w:rsidP="001C5F09">
      <w:pPr>
        <w:spacing w:line="240" w:lineRule="auto"/>
        <w:rPr>
          <w:b/>
        </w:rPr>
      </w:pPr>
      <w:r w:rsidRPr="001C5F09">
        <w:rPr>
          <w:b/>
        </w:rPr>
        <w:t xml:space="preserve">Spend </w:t>
      </w:r>
      <w:r w:rsidR="00BE1149" w:rsidRPr="001C5F09">
        <w:rPr>
          <w:b/>
        </w:rPr>
        <w:t xml:space="preserve">and monitoring </w:t>
      </w:r>
    </w:p>
    <w:p w:rsidR="00BE1149" w:rsidRPr="001C5F09" w:rsidRDefault="00BE1149" w:rsidP="001C5F09">
      <w:pPr>
        <w:spacing w:line="240" w:lineRule="auto"/>
      </w:pPr>
      <w:r w:rsidRPr="001C5F09">
        <w:t>It is expected that successful</w:t>
      </w:r>
      <w:r w:rsidR="00961958" w:rsidRPr="001C5F09">
        <w:t xml:space="preserve"> applicant</w:t>
      </w:r>
      <w:r w:rsidRPr="001C5F09">
        <w:t xml:space="preserve">s will receive money during February 2021. </w:t>
      </w:r>
    </w:p>
    <w:p w:rsidR="00961958" w:rsidRPr="001C5F09" w:rsidRDefault="00961958" w:rsidP="001C5F09">
      <w:pPr>
        <w:spacing w:line="240" w:lineRule="auto"/>
      </w:pPr>
      <w:r w:rsidRPr="001C5F09">
        <w:t>Successful applicants will also be required to complete a quarterly monitoring re</w:t>
      </w:r>
      <w:r w:rsidR="0062411B" w:rsidRPr="001C5F09">
        <w:t>port by the following deadlines, a template is provided for this;</w:t>
      </w:r>
    </w:p>
    <w:p w:rsidR="00961958" w:rsidRPr="001C5F09" w:rsidRDefault="00961958" w:rsidP="001C5F09">
      <w:pPr>
        <w:spacing w:line="240" w:lineRule="auto"/>
        <w:jc w:val="center"/>
      </w:pPr>
      <w:r w:rsidRPr="001C5F09">
        <w:t>July 1</w:t>
      </w:r>
      <w:r w:rsidRPr="001C5F09">
        <w:rPr>
          <w:vertAlign w:val="superscript"/>
        </w:rPr>
        <w:t>st</w:t>
      </w:r>
      <w:r w:rsidR="001C5F09" w:rsidRPr="001C5F09">
        <w:t xml:space="preserve"> </w:t>
      </w:r>
      <w:r w:rsidRPr="001C5F09">
        <w:t xml:space="preserve">2021  </w:t>
      </w:r>
      <w:r w:rsidRPr="001C5F09">
        <w:rPr>
          <w:b/>
        </w:rPr>
        <w:t xml:space="preserve">   </w:t>
      </w:r>
      <w:r w:rsidRPr="001C5F09">
        <w:t xml:space="preserve">October </w:t>
      </w:r>
      <w:r w:rsidR="001C5F09" w:rsidRPr="001C5F09">
        <w:t>1</w:t>
      </w:r>
      <w:r w:rsidR="001C5F09" w:rsidRPr="001C5F09">
        <w:rPr>
          <w:vertAlign w:val="superscript"/>
        </w:rPr>
        <w:t>st</w:t>
      </w:r>
      <w:r w:rsidR="001C5F09" w:rsidRPr="001C5F09">
        <w:t xml:space="preserve"> 2021</w:t>
      </w:r>
      <w:r w:rsidRPr="001C5F09">
        <w:t xml:space="preserve">  </w:t>
      </w:r>
      <w:r w:rsidRPr="001C5F09">
        <w:rPr>
          <w:b/>
        </w:rPr>
        <w:t xml:space="preserve">    </w:t>
      </w:r>
      <w:r w:rsidRPr="001C5F09">
        <w:t xml:space="preserve">December </w:t>
      </w:r>
      <w:r w:rsidR="001C5F09" w:rsidRPr="001C5F09">
        <w:t>1</w:t>
      </w:r>
      <w:r w:rsidR="001C5F09" w:rsidRPr="001C5F09">
        <w:rPr>
          <w:vertAlign w:val="superscript"/>
        </w:rPr>
        <w:t>st</w:t>
      </w:r>
      <w:r w:rsidR="001C5F09" w:rsidRPr="001C5F09">
        <w:rPr>
          <w:b/>
        </w:rPr>
        <w:t xml:space="preserve"> </w:t>
      </w:r>
      <w:r w:rsidR="001C5F09" w:rsidRPr="001C5F09">
        <w:t>2021</w:t>
      </w:r>
      <w:r w:rsidRPr="001C5F09">
        <w:t xml:space="preserve">  </w:t>
      </w:r>
      <w:r w:rsidRPr="001C5F09">
        <w:rPr>
          <w:b/>
        </w:rPr>
        <w:t xml:space="preserve">     Final monitoring report </w:t>
      </w:r>
      <w:r w:rsidRPr="001C5F09">
        <w:t>March 1</w:t>
      </w:r>
      <w:r w:rsidRPr="001C5F09">
        <w:rPr>
          <w:vertAlign w:val="superscript"/>
        </w:rPr>
        <w:t>st</w:t>
      </w:r>
      <w:r w:rsidRPr="001C5F09">
        <w:t xml:space="preserve"> 2022</w:t>
      </w:r>
    </w:p>
    <w:p w:rsidR="001C5F09" w:rsidRDefault="001C5F09" w:rsidP="001C5F09">
      <w:pPr>
        <w:spacing w:line="240" w:lineRule="auto"/>
      </w:pPr>
      <w:r w:rsidRPr="001C5F09">
        <w:lastRenderedPageBreak/>
        <w:t>Outcomes stated in application forms may be amended by Great Places as part of the assessment process for successful projects and this will be communicated in any offer letter to organisations and be used within monitoring.</w:t>
      </w:r>
      <w:r>
        <w:t xml:space="preserve"> </w:t>
      </w:r>
    </w:p>
    <w:p w:rsidR="001C5F09" w:rsidRPr="001C5F09" w:rsidRDefault="001C5F09" w:rsidP="001C5F09">
      <w:pPr>
        <w:spacing w:line="240" w:lineRule="auto"/>
        <w:rPr>
          <w:b/>
        </w:rPr>
      </w:pPr>
      <w:r>
        <w:t xml:space="preserve">If a project is expected to end before March 2022, for example be a short term initiative </w:t>
      </w:r>
      <w:r w:rsidR="00921052">
        <w:t>[£</w:t>
      </w:r>
      <w:r>
        <w:t xml:space="preserve">500 mini grants only, only 2 reports may be required depending on project specifics. </w:t>
      </w:r>
    </w:p>
    <w:p w:rsidR="00151FD4" w:rsidRPr="001C5F09" w:rsidRDefault="00BE1149" w:rsidP="001C5F09">
      <w:pPr>
        <w:spacing w:after="0" w:line="240" w:lineRule="auto"/>
        <w:rPr>
          <w:b/>
        </w:rPr>
      </w:pPr>
      <w:r w:rsidRPr="001C5F09">
        <w:rPr>
          <w:b/>
        </w:rPr>
        <w:t>To apply a</w:t>
      </w:r>
      <w:r w:rsidR="00B45DE1" w:rsidRPr="001C5F09">
        <w:rPr>
          <w:b/>
        </w:rPr>
        <w:t>ll organisations must have</w:t>
      </w:r>
    </w:p>
    <w:p w:rsidR="00340C49" w:rsidRPr="001C5F09" w:rsidRDefault="00B45DE1" w:rsidP="001C5F09">
      <w:pPr>
        <w:pStyle w:val="ListParagraph"/>
        <w:numPr>
          <w:ilvl w:val="0"/>
          <w:numId w:val="8"/>
        </w:numPr>
        <w:spacing w:after="0" w:line="240" w:lineRule="auto"/>
      </w:pPr>
      <w:r w:rsidRPr="001C5F09">
        <w:t>An</w:t>
      </w:r>
      <w:r w:rsidR="00340C49" w:rsidRPr="001C5F09">
        <w:t xml:space="preserve"> annua</w:t>
      </w:r>
      <w:r w:rsidR="000B75FE" w:rsidRPr="001C5F09">
        <w:t>l turnover of less than £2.5 million</w:t>
      </w:r>
    </w:p>
    <w:p w:rsidR="00E973E2" w:rsidRPr="001C5F09" w:rsidRDefault="00FC030F" w:rsidP="001C5F09">
      <w:pPr>
        <w:pStyle w:val="ListParagraph"/>
        <w:numPr>
          <w:ilvl w:val="0"/>
          <w:numId w:val="8"/>
        </w:numPr>
        <w:shd w:val="clear" w:color="auto" w:fill="FFFFFF"/>
        <w:spacing w:line="240" w:lineRule="auto"/>
        <w:rPr>
          <w:lang w:eastAsia="en-GB"/>
        </w:rPr>
      </w:pPr>
      <w:r w:rsidRPr="001C5F09">
        <w:rPr>
          <w:lang w:eastAsia="en-GB"/>
        </w:rPr>
        <w:t>A</w:t>
      </w:r>
      <w:r w:rsidR="00E973E2" w:rsidRPr="001C5F09">
        <w:rPr>
          <w:lang w:eastAsia="en-GB"/>
        </w:rPr>
        <w:t xml:space="preserve">nnual accounts, </w:t>
      </w:r>
      <w:r w:rsidR="009274D7" w:rsidRPr="001C5F09">
        <w:rPr>
          <w:lang w:eastAsia="en-GB"/>
        </w:rPr>
        <w:t>i.e.</w:t>
      </w:r>
      <w:r w:rsidR="00E973E2" w:rsidRPr="001C5F09">
        <w:rPr>
          <w:lang w:eastAsia="en-GB"/>
        </w:rPr>
        <w:t xml:space="preserve"> a summary of your financial activity. If you are a small organisation, this may be produced by your board and doesn't have to be done by an accountant.</w:t>
      </w:r>
      <w:r w:rsidR="00396FE4" w:rsidRPr="001C5F09">
        <w:rPr>
          <w:lang w:eastAsia="en-GB"/>
        </w:rPr>
        <w:t xml:space="preserve"> Alte</w:t>
      </w:r>
      <w:r w:rsidRPr="001C5F09">
        <w:rPr>
          <w:lang w:eastAsia="en-GB"/>
        </w:rPr>
        <w:t>r</w:t>
      </w:r>
      <w:r w:rsidR="00396FE4" w:rsidRPr="001C5F09">
        <w:rPr>
          <w:lang w:eastAsia="en-GB"/>
        </w:rPr>
        <w:t xml:space="preserve">natively </w:t>
      </w:r>
      <w:r w:rsidR="00045828" w:rsidRPr="001C5F09">
        <w:rPr>
          <w:lang w:eastAsia="en-GB"/>
        </w:rPr>
        <w:t>a projected</w:t>
      </w:r>
      <w:r w:rsidRPr="001C5F09">
        <w:rPr>
          <w:lang w:eastAsia="en-GB"/>
        </w:rPr>
        <w:t xml:space="preserve"> income and expenditure </w:t>
      </w:r>
      <w:r w:rsidR="00396FE4" w:rsidRPr="001C5F09">
        <w:rPr>
          <w:lang w:eastAsia="en-GB"/>
        </w:rPr>
        <w:t xml:space="preserve">document if a new group or </w:t>
      </w:r>
      <w:r w:rsidRPr="001C5F09">
        <w:rPr>
          <w:lang w:eastAsia="en-GB"/>
        </w:rPr>
        <w:t>organisation.</w:t>
      </w:r>
    </w:p>
    <w:p w:rsidR="00340C49" w:rsidRPr="001C5F09" w:rsidRDefault="00340C49" w:rsidP="001C5F09">
      <w:pPr>
        <w:pStyle w:val="ListParagraph"/>
        <w:numPr>
          <w:ilvl w:val="0"/>
          <w:numId w:val="8"/>
        </w:numPr>
        <w:spacing w:after="0" w:line="240" w:lineRule="auto"/>
      </w:pPr>
      <w:r w:rsidRPr="001C5F09">
        <w:t xml:space="preserve">At least 2 unrelated </w:t>
      </w:r>
      <w:r w:rsidR="00396FE4" w:rsidRPr="001C5F09">
        <w:t xml:space="preserve">bank account </w:t>
      </w:r>
      <w:r w:rsidRPr="001C5F09">
        <w:t>signatories.</w:t>
      </w:r>
    </w:p>
    <w:p w:rsidR="00340C49" w:rsidRPr="001C5F09" w:rsidRDefault="00340C49" w:rsidP="001C5F09">
      <w:pPr>
        <w:pStyle w:val="ListParagraph"/>
        <w:numPr>
          <w:ilvl w:val="0"/>
          <w:numId w:val="8"/>
        </w:numPr>
        <w:spacing w:after="0" w:line="240" w:lineRule="auto"/>
      </w:pPr>
      <w:r w:rsidRPr="001C5F09">
        <w:t>Safeguarding procedures in place.</w:t>
      </w:r>
    </w:p>
    <w:p w:rsidR="0062411B" w:rsidRPr="001C5F09" w:rsidRDefault="0062411B" w:rsidP="001C5F09">
      <w:pPr>
        <w:spacing w:after="0" w:line="240" w:lineRule="auto"/>
      </w:pPr>
    </w:p>
    <w:p w:rsidR="00B45DE1" w:rsidRPr="001C5F09" w:rsidRDefault="0062411B" w:rsidP="001C5F09">
      <w:pPr>
        <w:spacing w:after="0" w:line="240" w:lineRule="auto"/>
      </w:pPr>
      <w:r w:rsidRPr="001C5F09">
        <w:t>We may request to see copies of the above documents</w:t>
      </w:r>
    </w:p>
    <w:p w:rsidR="0062411B" w:rsidRPr="001C5F09" w:rsidRDefault="0062411B" w:rsidP="001C5F09">
      <w:pPr>
        <w:spacing w:after="0" w:line="240" w:lineRule="auto"/>
        <w:rPr>
          <w:b/>
        </w:rPr>
      </w:pPr>
    </w:p>
    <w:p w:rsidR="00B45DE1" w:rsidRPr="001C5F09" w:rsidRDefault="00340C49" w:rsidP="001C5F09">
      <w:pPr>
        <w:spacing w:after="0" w:line="240" w:lineRule="auto"/>
        <w:rPr>
          <w:b/>
        </w:rPr>
      </w:pPr>
      <w:r w:rsidRPr="001C5F09">
        <w:rPr>
          <w:b/>
        </w:rPr>
        <w:t xml:space="preserve">Excluded </w:t>
      </w:r>
      <w:r w:rsidR="00FC030F" w:rsidRPr="001C5F09">
        <w:rPr>
          <w:b/>
        </w:rPr>
        <w:t>– who can’t apply?</w:t>
      </w:r>
    </w:p>
    <w:p w:rsidR="00340C49" w:rsidRPr="001C5F09" w:rsidRDefault="00340C49" w:rsidP="001C5F09">
      <w:pPr>
        <w:pStyle w:val="ListParagraph"/>
        <w:numPr>
          <w:ilvl w:val="0"/>
          <w:numId w:val="8"/>
        </w:numPr>
        <w:spacing w:after="0" w:line="240" w:lineRule="auto"/>
      </w:pPr>
      <w:r w:rsidRPr="001C5F09">
        <w:t>Local Authority unless in partnership with a lead applicant from the above list</w:t>
      </w:r>
    </w:p>
    <w:p w:rsidR="00573B65" w:rsidRPr="001C5F09" w:rsidRDefault="00573B65" w:rsidP="001C5F09">
      <w:pPr>
        <w:pStyle w:val="ListParagraph"/>
        <w:numPr>
          <w:ilvl w:val="0"/>
          <w:numId w:val="8"/>
        </w:numPr>
        <w:spacing w:after="0" w:line="240" w:lineRule="auto"/>
      </w:pPr>
      <w:r w:rsidRPr="001C5F09">
        <w:t>Schools unless in partnership with a lea</w:t>
      </w:r>
      <w:r w:rsidR="00FC030F" w:rsidRPr="001C5F09">
        <w:t>d applicant from the above list</w:t>
      </w:r>
    </w:p>
    <w:p w:rsidR="00340C49" w:rsidRPr="001C5F09" w:rsidRDefault="00D8504E" w:rsidP="001C5F09">
      <w:pPr>
        <w:pStyle w:val="ListParagraph"/>
        <w:numPr>
          <w:ilvl w:val="0"/>
          <w:numId w:val="8"/>
        </w:numPr>
        <w:spacing w:after="0" w:line="240" w:lineRule="auto"/>
      </w:pPr>
      <w:r w:rsidRPr="001C5F09">
        <w:t>For profit organisations</w:t>
      </w:r>
    </w:p>
    <w:p w:rsidR="00D42AF9" w:rsidRPr="001C5F09" w:rsidRDefault="00D42AF9" w:rsidP="001C5F09">
      <w:pPr>
        <w:pStyle w:val="ListParagraph"/>
        <w:numPr>
          <w:ilvl w:val="0"/>
          <w:numId w:val="8"/>
        </w:numPr>
        <w:spacing w:after="0" w:line="240" w:lineRule="auto"/>
      </w:pPr>
      <w:r w:rsidRPr="001C5F09">
        <w:t xml:space="preserve">Individuals </w:t>
      </w:r>
    </w:p>
    <w:p w:rsidR="00217ED2" w:rsidRPr="001C5F09" w:rsidRDefault="00217ED2" w:rsidP="001C5F09">
      <w:pPr>
        <w:pStyle w:val="ListParagraph"/>
        <w:numPr>
          <w:ilvl w:val="0"/>
          <w:numId w:val="8"/>
        </w:numPr>
        <w:spacing w:after="0" w:line="240" w:lineRule="auto"/>
      </w:pPr>
      <w:r w:rsidRPr="001C5F09">
        <w:t>Organisations submitting an Expression of Interest at Round 1</w:t>
      </w:r>
      <w:r w:rsidR="001152C1">
        <w:t xml:space="preserve"> or which were funded in Round 1</w:t>
      </w:r>
      <w:bookmarkStart w:id="0" w:name="_GoBack"/>
      <w:bookmarkEnd w:id="0"/>
    </w:p>
    <w:p w:rsidR="008D1CAA" w:rsidRPr="001C5F09" w:rsidRDefault="008D1CAA" w:rsidP="001C5F09">
      <w:pPr>
        <w:spacing w:after="0" w:line="240" w:lineRule="auto"/>
      </w:pPr>
    </w:p>
    <w:p w:rsidR="00340C49" w:rsidRPr="001C5F09" w:rsidRDefault="00C10E4F" w:rsidP="001C5F09">
      <w:pPr>
        <w:spacing w:after="0" w:line="240" w:lineRule="auto"/>
        <w:rPr>
          <w:b/>
        </w:rPr>
      </w:pPr>
      <w:r w:rsidRPr="001C5F09">
        <w:rPr>
          <w:b/>
        </w:rPr>
        <w:t xml:space="preserve">7. </w:t>
      </w:r>
      <w:r w:rsidR="00D8504E" w:rsidRPr="001C5F09">
        <w:rPr>
          <w:b/>
        </w:rPr>
        <w:t xml:space="preserve">Eligible spend </w:t>
      </w:r>
    </w:p>
    <w:p w:rsidR="00D8504E" w:rsidRPr="001C5F09" w:rsidRDefault="00D8504E" w:rsidP="001C5F09">
      <w:pPr>
        <w:spacing w:after="0" w:line="240" w:lineRule="auto"/>
      </w:pPr>
    </w:p>
    <w:p w:rsidR="009A7931" w:rsidRPr="001C5F09" w:rsidRDefault="008D1CAA" w:rsidP="001C5F09">
      <w:pPr>
        <w:spacing w:after="0" w:line="240" w:lineRule="auto"/>
      </w:pPr>
      <w:r w:rsidRPr="001C5F09">
        <w:t xml:space="preserve">The fund is intended to focus on core costs and </w:t>
      </w:r>
      <w:r w:rsidR="00396FE4" w:rsidRPr="001C5F09">
        <w:t xml:space="preserve">some future </w:t>
      </w:r>
      <w:r w:rsidRPr="001C5F09">
        <w:t>additional costs incurred due to Covid-19.</w:t>
      </w:r>
      <w:r w:rsidR="00610E72" w:rsidRPr="001C5F09">
        <w:t xml:space="preserve"> The following are eligible;</w:t>
      </w:r>
    </w:p>
    <w:p w:rsidR="00D42AF9" w:rsidRPr="001C5F09" w:rsidRDefault="00D42AF9" w:rsidP="001C5F09">
      <w:pPr>
        <w:pStyle w:val="ListParagraph"/>
        <w:numPr>
          <w:ilvl w:val="0"/>
          <w:numId w:val="11"/>
        </w:numPr>
        <w:spacing w:after="0" w:line="240" w:lineRule="auto"/>
      </w:pPr>
      <w:r w:rsidRPr="001C5F09">
        <w:t xml:space="preserve">Staffing costs specific to the delivery of your project/services/activities </w:t>
      </w:r>
    </w:p>
    <w:p w:rsidR="00D42AF9" w:rsidRPr="001C5F09" w:rsidRDefault="00D42AF9" w:rsidP="001C5F09">
      <w:pPr>
        <w:pStyle w:val="ListParagraph"/>
        <w:numPr>
          <w:ilvl w:val="0"/>
          <w:numId w:val="11"/>
        </w:numPr>
        <w:spacing w:after="0" w:line="240" w:lineRule="auto"/>
      </w:pPr>
      <w:r w:rsidRPr="001C5F09">
        <w:t>Sessional freelance staffing costs specific to the delivery of your project/services/activities</w:t>
      </w:r>
    </w:p>
    <w:p w:rsidR="009A7931" w:rsidRPr="001C5F09" w:rsidRDefault="00F36E29" w:rsidP="001C5F09">
      <w:pPr>
        <w:pStyle w:val="ListParagraph"/>
        <w:numPr>
          <w:ilvl w:val="0"/>
          <w:numId w:val="11"/>
        </w:numPr>
        <w:spacing w:after="0" w:line="240" w:lineRule="auto"/>
      </w:pPr>
      <w:r w:rsidRPr="001C5F09">
        <w:t>Outsourced HR or othe</w:t>
      </w:r>
      <w:r w:rsidR="006C78A2" w:rsidRPr="001C5F09">
        <w:t xml:space="preserve">r specialist support services </w:t>
      </w:r>
      <w:r w:rsidR="0074017B" w:rsidRPr="001C5F09">
        <w:t>up to 20% of total request</w:t>
      </w:r>
      <w:r w:rsidRPr="001C5F09">
        <w:t xml:space="preserve"> </w:t>
      </w:r>
    </w:p>
    <w:p w:rsidR="00D42AF9" w:rsidRPr="001C5F09" w:rsidRDefault="00D42AF9" w:rsidP="001C5F09">
      <w:pPr>
        <w:pStyle w:val="ListParagraph"/>
        <w:numPr>
          <w:ilvl w:val="0"/>
          <w:numId w:val="11"/>
        </w:numPr>
        <w:spacing w:after="0" w:line="240" w:lineRule="auto"/>
      </w:pPr>
      <w:r w:rsidRPr="001C5F09">
        <w:t>Reasonable volunteer expenses</w:t>
      </w:r>
    </w:p>
    <w:p w:rsidR="00D42AF9" w:rsidRPr="001C5F09" w:rsidRDefault="00D42AF9" w:rsidP="001C5F09">
      <w:pPr>
        <w:pStyle w:val="ListParagraph"/>
        <w:numPr>
          <w:ilvl w:val="0"/>
          <w:numId w:val="11"/>
        </w:numPr>
        <w:spacing w:after="0" w:line="240" w:lineRule="auto"/>
      </w:pPr>
      <w:r w:rsidRPr="001C5F09">
        <w:t xml:space="preserve">Venue hire </w:t>
      </w:r>
      <w:r w:rsidR="00F36E29" w:rsidRPr="001C5F09">
        <w:t xml:space="preserve">/ lease </w:t>
      </w:r>
      <w:r w:rsidR="006C78A2" w:rsidRPr="001C5F09">
        <w:t xml:space="preserve">costs </w:t>
      </w:r>
      <w:r w:rsidRPr="001C5F09">
        <w:t>up to 20% of total request</w:t>
      </w:r>
    </w:p>
    <w:p w:rsidR="00D42AF9" w:rsidRPr="001C5F09" w:rsidRDefault="00D42AF9" w:rsidP="001C5F09">
      <w:pPr>
        <w:pStyle w:val="ListParagraph"/>
        <w:numPr>
          <w:ilvl w:val="0"/>
          <w:numId w:val="11"/>
        </w:numPr>
        <w:spacing w:after="0" w:line="240" w:lineRule="auto"/>
      </w:pPr>
      <w:r w:rsidRPr="001C5F09">
        <w:t xml:space="preserve">Management costs to a maximum of </w:t>
      </w:r>
      <w:r w:rsidR="0062411B" w:rsidRPr="001C5F09">
        <w:t>10</w:t>
      </w:r>
      <w:r w:rsidRPr="001C5F09">
        <w:t>% of total request</w:t>
      </w:r>
    </w:p>
    <w:p w:rsidR="00D42AF9" w:rsidRPr="001C5F09" w:rsidRDefault="00D42AF9" w:rsidP="001C5F09">
      <w:pPr>
        <w:pStyle w:val="ListParagraph"/>
        <w:numPr>
          <w:ilvl w:val="0"/>
          <w:numId w:val="11"/>
        </w:numPr>
        <w:spacing w:after="0" w:line="240" w:lineRule="auto"/>
      </w:pPr>
      <w:r w:rsidRPr="001C5F09">
        <w:t>Utility bills</w:t>
      </w:r>
      <w:r w:rsidR="00291067" w:rsidRPr="001C5F09">
        <w:t xml:space="preserve"> and overheads</w:t>
      </w:r>
    </w:p>
    <w:p w:rsidR="00F36E29" w:rsidRPr="001C5F09" w:rsidRDefault="00F36E29" w:rsidP="001C5F09">
      <w:pPr>
        <w:pStyle w:val="ListParagraph"/>
        <w:numPr>
          <w:ilvl w:val="0"/>
          <w:numId w:val="11"/>
        </w:numPr>
        <w:spacing w:after="0" w:line="240" w:lineRule="auto"/>
      </w:pPr>
      <w:r w:rsidRPr="001C5F09">
        <w:t xml:space="preserve">Insurance </w:t>
      </w:r>
    </w:p>
    <w:p w:rsidR="00D42AF9" w:rsidRPr="001C5F09" w:rsidRDefault="00D42AF9" w:rsidP="001C5F09">
      <w:pPr>
        <w:pStyle w:val="ListParagraph"/>
        <w:numPr>
          <w:ilvl w:val="0"/>
          <w:numId w:val="11"/>
        </w:numPr>
        <w:spacing w:after="0" w:line="240" w:lineRule="auto"/>
      </w:pPr>
      <w:r w:rsidRPr="001C5F09">
        <w:t>Equipment</w:t>
      </w:r>
    </w:p>
    <w:p w:rsidR="00C86BD3" w:rsidRPr="001C5F09" w:rsidRDefault="00C86BD3" w:rsidP="001C5F09">
      <w:pPr>
        <w:pStyle w:val="ListParagraph"/>
        <w:numPr>
          <w:ilvl w:val="0"/>
          <w:numId w:val="11"/>
        </w:numPr>
        <w:spacing w:after="0" w:line="240" w:lineRule="auto"/>
      </w:pPr>
      <w:r w:rsidRPr="001C5F09">
        <w:t>IT equipment</w:t>
      </w:r>
    </w:p>
    <w:p w:rsidR="00A668A1" w:rsidRPr="001C5F09" w:rsidRDefault="00A668A1" w:rsidP="001C5F09">
      <w:pPr>
        <w:pStyle w:val="ListParagraph"/>
        <w:numPr>
          <w:ilvl w:val="0"/>
          <w:numId w:val="11"/>
        </w:numPr>
        <w:spacing w:after="0" w:line="240" w:lineRule="auto"/>
      </w:pPr>
      <w:r w:rsidRPr="001C5F09">
        <w:t>Vehicle costs</w:t>
      </w:r>
      <w:r w:rsidR="00610E72" w:rsidRPr="001C5F09">
        <w:t>, purchase/hire</w:t>
      </w:r>
    </w:p>
    <w:p w:rsidR="00D42AF9" w:rsidRPr="001C5F09" w:rsidRDefault="004E76F4" w:rsidP="001C5F09">
      <w:pPr>
        <w:pStyle w:val="ListParagraph"/>
        <w:numPr>
          <w:ilvl w:val="0"/>
          <w:numId w:val="11"/>
        </w:numPr>
        <w:spacing w:after="0" w:line="240" w:lineRule="auto"/>
      </w:pPr>
      <w:r w:rsidRPr="001C5F09">
        <w:t xml:space="preserve">Training </w:t>
      </w:r>
    </w:p>
    <w:p w:rsidR="00C86511" w:rsidRPr="001C5F09" w:rsidRDefault="00C86BD3" w:rsidP="001C5F09">
      <w:pPr>
        <w:pStyle w:val="ListParagraph"/>
        <w:numPr>
          <w:ilvl w:val="0"/>
          <w:numId w:val="11"/>
        </w:numPr>
        <w:spacing w:after="0" w:line="240" w:lineRule="auto"/>
      </w:pPr>
      <w:r w:rsidRPr="001C5F09">
        <w:t>Cleaning materials and other resources</w:t>
      </w:r>
      <w:r w:rsidR="00F36E29" w:rsidRPr="001C5F09">
        <w:t xml:space="preserve"> </w:t>
      </w:r>
      <w:r w:rsidR="0074017B" w:rsidRPr="001C5F09">
        <w:t>needed for social distancing.</w:t>
      </w:r>
    </w:p>
    <w:p w:rsidR="00F36E29" w:rsidRPr="001C5F09" w:rsidRDefault="00F36E29" w:rsidP="001C5F09">
      <w:pPr>
        <w:pStyle w:val="ListParagraph"/>
        <w:numPr>
          <w:ilvl w:val="0"/>
          <w:numId w:val="11"/>
        </w:numPr>
        <w:spacing w:after="0" w:line="240" w:lineRule="auto"/>
      </w:pPr>
      <w:r w:rsidRPr="001C5F09">
        <w:t xml:space="preserve">Additional </w:t>
      </w:r>
      <w:r w:rsidR="0074017B" w:rsidRPr="001C5F09">
        <w:t>health and safety costs</w:t>
      </w:r>
    </w:p>
    <w:p w:rsidR="00B45DE1" w:rsidRPr="001C5F09" w:rsidRDefault="00B45DE1" w:rsidP="001C5F09">
      <w:pPr>
        <w:spacing w:after="0" w:line="240" w:lineRule="auto"/>
      </w:pPr>
    </w:p>
    <w:p w:rsidR="00D42AF9" w:rsidRPr="001C5F09" w:rsidRDefault="00B45DE1" w:rsidP="001C5F09">
      <w:pPr>
        <w:spacing w:after="0" w:line="240" w:lineRule="auto"/>
        <w:rPr>
          <w:b/>
        </w:rPr>
      </w:pPr>
      <w:r w:rsidRPr="001C5F09">
        <w:rPr>
          <w:b/>
        </w:rPr>
        <w:t>Ineligible spend</w:t>
      </w:r>
      <w:r w:rsidR="0036086D" w:rsidRPr="001C5F09">
        <w:rPr>
          <w:b/>
        </w:rPr>
        <w:t xml:space="preserve"> - </w:t>
      </w:r>
      <w:r w:rsidR="00D42AF9" w:rsidRPr="001C5F09">
        <w:t>The following categories are excluded;</w:t>
      </w:r>
    </w:p>
    <w:p w:rsidR="00D42AF9" w:rsidRPr="001C5F09" w:rsidRDefault="00D42AF9" w:rsidP="001C5F09">
      <w:pPr>
        <w:spacing w:after="0" w:line="240" w:lineRule="auto"/>
      </w:pPr>
    </w:p>
    <w:p w:rsidR="00D42AF9" w:rsidRPr="001C5F09" w:rsidRDefault="00D42AF9" w:rsidP="001C5F09">
      <w:pPr>
        <w:pStyle w:val="ListParagraph"/>
        <w:numPr>
          <w:ilvl w:val="0"/>
          <w:numId w:val="12"/>
        </w:numPr>
        <w:spacing w:after="0" w:line="240" w:lineRule="auto"/>
      </w:pPr>
      <w:r w:rsidRPr="001C5F09">
        <w:t>Maintenance</w:t>
      </w:r>
      <w:r w:rsidR="006C78A2" w:rsidRPr="001C5F09">
        <w:t xml:space="preserve">, refurbishment </w:t>
      </w:r>
      <w:r w:rsidRPr="001C5F09">
        <w:t xml:space="preserve"> or repair of assets, buildings</w:t>
      </w:r>
    </w:p>
    <w:p w:rsidR="00DA4B02" w:rsidRPr="001C5F09" w:rsidRDefault="006C78A2" w:rsidP="001C5F09">
      <w:pPr>
        <w:pStyle w:val="ListParagraph"/>
        <w:numPr>
          <w:ilvl w:val="0"/>
          <w:numId w:val="12"/>
        </w:numPr>
        <w:spacing w:after="0" w:line="240" w:lineRule="auto"/>
      </w:pPr>
      <w:r w:rsidRPr="001C5F09">
        <w:t>Work in communal g</w:t>
      </w:r>
      <w:r w:rsidR="008725AA" w:rsidRPr="001C5F09">
        <w:t xml:space="preserve">ardens or </w:t>
      </w:r>
      <w:r w:rsidR="000B75FE" w:rsidRPr="001C5F09">
        <w:t>landscaping work i</w:t>
      </w:r>
      <w:r w:rsidR="008725AA" w:rsidRPr="001C5F09">
        <w:t>n outdoor spaces</w:t>
      </w:r>
    </w:p>
    <w:p w:rsidR="00D42AF9" w:rsidRPr="001C5F09" w:rsidRDefault="00D42AF9" w:rsidP="001C5F09">
      <w:pPr>
        <w:pStyle w:val="ListParagraph"/>
        <w:numPr>
          <w:ilvl w:val="0"/>
          <w:numId w:val="12"/>
        </w:numPr>
        <w:spacing w:after="0" w:line="240" w:lineRule="auto"/>
      </w:pPr>
      <w:r w:rsidRPr="001C5F09">
        <w:t>Day trips</w:t>
      </w:r>
    </w:p>
    <w:p w:rsidR="004E76F4" w:rsidRPr="001C5F09" w:rsidRDefault="004E76F4" w:rsidP="001C5F09">
      <w:pPr>
        <w:pStyle w:val="ListParagraph"/>
        <w:numPr>
          <w:ilvl w:val="0"/>
          <w:numId w:val="12"/>
        </w:numPr>
        <w:spacing w:after="0" w:line="240" w:lineRule="auto"/>
      </w:pPr>
      <w:r w:rsidRPr="001C5F09">
        <w:t>Consultancy costs</w:t>
      </w:r>
    </w:p>
    <w:p w:rsidR="00075092" w:rsidRPr="001C5F09" w:rsidRDefault="00075092" w:rsidP="001C5F09">
      <w:pPr>
        <w:pStyle w:val="ListParagraph"/>
        <w:numPr>
          <w:ilvl w:val="0"/>
          <w:numId w:val="12"/>
        </w:numPr>
        <w:spacing w:after="0" w:line="240" w:lineRule="auto"/>
      </w:pPr>
      <w:r w:rsidRPr="001C5F09">
        <w:t xml:space="preserve">Marketing </w:t>
      </w:r>
    </w:p>
    <w:p w:rsidR="00291067" w:rsidRPr="001C5F09" w:rsidRDefault="00291067" w:rsidP="001C5F09">
      <w:pPr>
        <w:pStyle w:val="ListParagraph"/>
        <w:numPr>
          <w:ilvl w:val="0"/>
          <w:numId w:val="12"/>
        </w:numPr>
        <w:spacing w:after="0" w:line="240" w:lineRule="auto"/>
      </w:pPr>
      <w:r w:rsidRPr="001C5F09">
        <w:t>Refreshments</w:t>
      </w:r>
    </w:p>
    <w:p w:rsidR="004E76F4" w:rsidRPr="001C5F09" w:rsidRDefault="004E76F4" w:rsidP="001C5F09">
      <w:pPr>
        <w:pStyle w:val="ListParagraph"/>
        <w:numPr>
          <w:ilvl w:val="0"/>
          <w:numId w:val="12"/>
        </w:numPr>
        <w:spacing w:after="0" w:line="240" w:lineRule="auto"/>
      </w:pPr>
      <w:r w:rsidRPr="001C5F09">
        <w:t>Membership of professional bodies</w:t>
      </w:r>
    </w:p>
    <w:p w:rsidR="009E62B2" w:rsidRPr="001C5F09" w:rsidRDefault="009E62B2" w:rsidP="001C5F09">
      <w:pPr>
        <w:pStyle w:val="ListParagraph"/>
        <w:numPr>
          <w:ilvl w:val="0"/>
          <w:numId w:val="12"/>
        </w:numPr>
        <w:spacing w:after="0" w:line="240" w:lineRule="auto"/>
      </w:pPr>
      <w:r w:rsidRPr="001C5F09">
        <w:t>Legal Fees</w:t>
      </w:r>
    </w:p>
    <w:p w:rsidR="00142E22" w:rsidRPr="001C5F09" w:rsidRDefault="00142E22" w:rsidP="001C5F09">
      <w:pPr>
        <w:pStyle w:val="ListParagraph"/>
        <w:numPr>
          <w:ilvl w:val="0"/>
          <w:numId w:val="12"/>
        </w:numPr>
        <w:spacing w:after="0" w:line="240" w:lineRule="auto"/>
      </w:pPr>
      <w:r w:rsidRPr="001C5F09">
        <w:t xml:space="preserve">Liquidity </w:t>
      </w:r>
      <w:r w:rsidR="00F36E29" w:rsidRPr="001C5F09">
        <w:t>costs</w:t>
      </w:r>
    </w:p>
    <w:p w:rsidR="00075092" w:rsidRPr="001C5F09" w:rsidRDefault="00075092" w:rsidP="001C5F09">
      <w:pPr>
        <w:pStyle w:val="ListParagraph"/>
        <w:numPr>
          <w:ilvl w:val="0"/>
          <w:numId w:val="12"/>
        </w:numPr>
        <w:spacing w:after="0" w:line="240" w:lineRule="auto"/>
      </w:pPr>
      <w:r w:rsidRPr="001C5F09">
        <w:lastRenderedPageBreak/>
        <w:t>Alcohol</w:t>
      </w:r>
    </w:p>
    <w:p w:rsidR="00B45DE1" w:rsidRPr="001C5F09" w:rsidRDefault="00B45DE1" w:rsidP="001C5F09">
      <w:pPr>
        <w:spacing w:after="0" w:line="240" w:lineRule="auto"/>
        <w:rPr>
          <w:rFonts w:cs="Arial"/>
        </w:rPr>
      </w:pPr>
    </w:p>
    <w:p w:rsidR="00D8504E" w:rsidRPr="001C5F09" w:rsidRDefault="00D8504E" w:rsidP="001C5F09">
      <w:pPr>
        <w:spacing w:after="0" w:line="240" w:lineRule="auto"/>
        <w:rPr>
          <w:b/>
        </w:rPr>
      </w:pPr>
      <w:r w:rsidRPr="001C5F09">
        <w:rPr>
          <w:b/>
        </w:rPr>
        <w:t>Fun</w:t>
      </w:r>
      <w:r w:rsidR="004E76F4" w:rsidRPr="001C5F09">
        <w:rPr>
          <w:b/>
        </w:rPr>
        <w:t>ding may not be applied for</w:t>
      </w:r>
      <w:r w:rsidRPr="001C5F09">
        <w:rPr>
          <w:b/>
        </w:rPr>
        <w:t>;</w:t>
      </w:r>
    </w:p>
    <w:p w:rsidR="00D8504E" w:rsidRPr="001C5F09" w:rsidRDefault="004E76F4" w:rsidP="001C5F09">
      <w:pPr>
        <w:pStyle w:val="ListParagraph"/>
        <w:numPr>
          <w:ilvl w:val="0"/>
          <w:numId w:val="3"/>
        </w:numPr>
        <w:spacing w:after="0" w:line="240" w:lineRule="auto"/>
        <w:ind w:left="426" w:hanging="426"/>
      </w:pPr>
      <w:r w:rsidRPr="001C5F09">
        <w:t>Activities/services which p</w:t>
      </w:r>
      <w:r w:rsidR="00D8504E" w:rsidRPr="001C5F09">
        <w:t>romote any religious or political cause.</w:t>
      </w:r>
    </w:p>
    <w:p w:rsidR="00D8504E" w:rsidRPr="001C5F09" w:rsidRDefault="00D42AF9" w:rsidP="001C5F09">
      <w:pPr>
        <w:pStyle w:val="ListParagraph"/>
        <w:numPr>
          <w:ilvl w:val="0"/>
          <w:numId w:val="3"/>
        </w:numPr>
        <w:spacing w:after="0" w:line="240" w:lineRule="auto"/>
        <w:ind w:left="426" w:hanging="426"/>
      </w:pPr>
      <w:r w:rsidRPr="001C5F09">
        <w:t>Activities/services which a local authority has a statutory duty to provide.</w:t>
      </w:r>
    </w:p>
    <w:p w:rsidR="00B45DE1" w:rsidRPr="001C5F09" w:rsidRDefault="004E76F4" w:rsidP="001C5F09">
      <w:pPr>
        <w:pStyle w:val="ListParagraph"/>
        <w:numPr>
          <w:ilvl w:val="0"/>
          <w:numId w:val="3"/>
        </w:numPr>
        <w:spacing w:after="0" w:line="240" w:lineRule="auto"/>
        <w:ind w:left="426" w:hanging="426"/>
        <w:rPr>
          <w:rFonts w:cs="Arial"/>
        </w:rPr>
      </w:pPr>
      <w:r w:rsidRPr="001C5F09">
        <w:rPr>
          <w:rFonts w:cs="Arial"/>
        </w:rPr>
        <w:t xml:space="preserve">Initiatives </w:t>
      </w:r>
      <w:r w:rsidR="00151FD4" w:rsidRPr="001C5F09">
        <w:rPr>
          <w:rFonts w:cs="Arial"/>
        </w:rPr>
        <w:t>where the funds are to be re-allocated out to other groups or individuals</w:t>
      </w:r>
      <w:r w:rsidR="00075092" w:rsidRPr="001C5F09">
        <w:rPr>
          <w:rFonts w:cs="Arial"/>
        </w:rPr>
        <w:t>.</w:t>
      </w:r>
    </w:p>
    <w:p w:rsidR="00151FD4" w:rsidRPr="001C5F09" w:rsidRDefault="00075092" w:rsidP="001C5F09">
      <w:pPr>
        <w:pStyle w:val="ListParagraph"/>
        <w:numPr>
          <w:ilvl w:val="0"/>
          <w:numId w:val="3"/>
        </w:numPr>
        <w:spacing w:after="0" w:line="240" w:lineRule="auto"/>
        <w:ind w:left="426" w:hanging="426"/>
      </w:pPr>
      <w:r w:rsidRPr="001C5F09">
        <w:rPr>
          <w:rFonts w:eastAsia="Times New Roman" w:cs="Arial"/>
        </w:rPr>
        <w:t>From</w:t>
      </w:r>
      <w:r w:rsidR="00151FD4" w:rsidRPr="001C5F09">
        <w:rPr>
          <w:rFonts w:eastAsia="Times New Roman" w:cs="Arial"/>
        </w:rPr>
        <w:t xml:space="preserve"> local branches of national charities unless locally managed, financially autonomous and not in receipt of financial support from the national body</w:t>
      </w:r>
    </w:p>
    <w:p w:rsidR="00B45DE1" w:rsidRPr="001C5F09" w:rsidRDefault="00B45DE1" w:rsidP="001C5F09">
      <w:pPr>
        <w:pStyle w:val="ListParagraph"/>
        <w:spacing w:after="0" w:line="240" w:lineRule="auto"/>
        <w:ind w:left="426"/>
      </w:pPr>
    </w:p>
    <w:p w:rsidR="007F2DF3" w:rsidRPr="001C5F09" w:rsidRDefault="007F2DF3" w:rsidP="001C5F09">
      <w:pPr>
        <w:spacing w:after="0" w:line="240" w:lineRule="auto"/>
      </w:pPr>
    </w:p>
    <w:p w:rsidR="00075092" w:rsidRPr="001C5F09" w:rsidRDefault="007F2DF3" w:rsidP="001C5F09">
      <w:pPr>
        <w:spacing w:after="0" w:line="240" w:lineRule="auto"/>
      </w:pPr>
      <w:r w:rsidRPr="001C5F09">
        <w:t>Please ens</w:t>
      </w:r>
      <w:r w:rsidR="006C78A2" w:rsidRPr="001C5F09">
        <w:t xml:space="preserve">ure any submissions are sent to </w:t>
      </w:r>
      <w:hyperlink r:id="rId10" w:history="1">
        <w:r w:rsidR="00075092" w:rsidRPr="001C5F09">
          <w:rPr>
            <w:rStyle w:val="Hyperlink"/>
          </w:rPr>
          <w:t>Community.Investment@greatplaces.org.uk</w:t>
        </w:r>
      </w:hyperlink>
      <w:r w:rsidR="00075092" w:rsidRPr="001C5F09">
        <w:t xml:space="preserve">  </w:t>
      </w:r>
    </w:p>
    <w:p w:rsidR="00277501" w:rsidRPr="001C5F09" w:rsidRDefault="00277501" w:rsidP="0036086D">
      <w:pPr>
        <w:spacing w:after="0" w:line="240" w:lineRule="auto"/>
      </w:pPr>
    </w:p>
    <w:p w:rsidR="00277501" w:rsidRPr="001C5F09" w:rsidRDefault="001C5F09" w:rsidP="0036086D">
      <w:pPr>
        <w:spacing w:after="0" w:line="240" w:lineRule="auto"/>
        <w:rPr>
          <w:rStyle w:val="Hyperlink"/>
          <w:rFonts w:cs="Tahoma"/>
          <w:b/>
          <w:color w:val="auto"/>
          <w:u w:val="none"/>
          <w:lang w:val="en-US"/>
        </w:rPr>
      </w:pPr>
      <w:r w:rsidRPr="001C5F09">
        <w:rPr>
          <w:rStyle w:val="Hyperlink"/>
          <w:rFonts w:cs="Tahoma"/>
          <w:b/>
          <w:color w:val="auto"/>
          <w:u w:val="none"/>
          <w:lang w:val="en-US"/>
        </w:rPr>
        <w:t xml:space="preserve">For queries in relation to this grant funding opportunity please contact </w:t>
      </w:r>
    </w:p>
    <w:p w:rsidR="001C5F09" w:rsidRPr="001C5F09" w:rsidRDefault="001C5F09" w:rsidP="001C5F09">
      <w:pPr>
        <w:spacing w:line="240" w:lineRule="auto"/>
        <w:rPr>
          <w:rFonts w:cs="Arial"/>
          <w:color w:val="000000"/>
        </w:rPr>
      </w:pPr>
    </w:p>
    <w:p w:rsidR="001C5F09" w:rsidRPr="001C5F09" w:rsidRDefault="001C5F09" w:rsidP="001C5F09">
      <w:pPr>
        <w:spacing w:line="240" w:lineRule="auto"/>
        <w:rPr>
          <w:rFonts w:cs="Arial"/>
          <w:color w:val="000000"/>
        </w:rPr>
      </w:pPr>
      <w:r w:rsidRPr="001C5F09">
        <w:rPr>
          <w:rFonts w:cs="Arial"/>
          <w:color w:val="000000"/>
        </w:rPr>
        <w:t xml:space="preserve">Daniel Mountford, </w:t>
      </w:r>
      <w:r w:rsidRPr="001C5F09">
        <w:rPr>
          <w:rFonts w:cs="Helvetica"/>
          <w:color w:val="000000"/>
        </w:rPr>
        <w:t>Fundraising Specialist</w:t>
      </w:r>
    </w:p>
    <w:p w:rsidR="001C5F09" w:rsidRPr="001C5F09" w:rsidRDefault="001C5F09" w:rsidP="001C5F09">
      <w:pPr>
        <w:spacing w:line="240" w:lineRule="auto"/>
        <w:rPr>
          <w:rFonts w:cs="Arial"/>
          <w:color w:val="000000"/>
        </w:rPr>
      </w:pPr>
      <w:r w:rsidRPr="001C5F09">
        <w:rPr>
          <w:rFonts w:cs="Helvetica"/>
          <w:color w:val="000000"/>
        </w:rPr>
        <w:t>Great Places Housing Group, M21 7QP</w:t>
      </w:r>
    </w:p>
    <w:p w:rsidR="001C5F09" w:rsidRPr="001C5F09" w:rsidRDefault="001C5F09" w:rsidP="001C5F09">
      <w:pPr>
        <w:spacing w:line="240" w:lineRule="auto"/>
        <w:rPr>
          <w:rFonts w:cs="Arial"/>
          <w:color w:val="000000"/>
        </w:rPr>
      </w:pPr>
      <w:r w:rsidRPr="001C5F09">
        <w:rPr>
          <w:rFonts w:cs="Arial"/>
          <w:color w:val="000000"/>
        </w:rPr>
        <w:t xml:space="preserve">mobile - 0791 7617327 E mail - </w:t>
      </w:r>
      <w:hyperlink r:id="rId11" w:tgtFrame="_blank" w:history="1">
        <w:r w:rsidRPr="001C5F09">
          <w:rPr>
            <w:rStyle w:val="Hyperlink"/>
            <w:rFonts w:cs="Arial"/>
          </w:rPr>
          <w:t>daniel.mountf</w:t>
        </w:r>
        <w:r w:rsidRPr="001C5F09">
          <w:rPr>
            <w:rStyle w:val="Hyperlink"/>
            <w:rFonts w:cs="Arial"/>
            <w:color w:val="003399"/>
          </w:rPr>
          <w:t>ord@greatplaces.org.uk</w:t>
        </w:r>
      </w:hyperlink>
    </w:p>
    <w:p w:rsidR="001C5F09" w:rsidRPr="001C5F09" w:rsidRDefault="00566731" w:rsidP="001C5F09">
      <w:pPr>
        <w:spacing w:after="0" w:line="240" w:lineRule="auto"/>
        <w:rPr>
          <w:rStyle w:val="Hyperlink"/>
          <w:rFonts w:cs="Tahoma"/>
          <w:b/>
          <w:color w:val="auto"/>
          <w:u w:val="none"/>
          <w:lang w:val="en-US"/>
        </w:rPr>
      </w:pPr>
      <w:hyperlink r:id="rId12" w:tgtFrame="_blank" w:history="1">
        <w:r w:rsidR="001C5F09" w:rsidRPr="001C5F09">
          <w:rPr>
            <w:rStyle w:val="Hyperlink"/>
            <w:rFonts w:cs="Arial"/>
          </w:rPr>
          <w:t>www.greatplaces.org.uk</w:t>
        </w:r>
      </w:hyperlink>
    </w:p>
    <w:p w:rsidR="00075092" w:rsidRPr="00D53845" w:rsidRDefault="00075092" w:rsidP="0036086D">
      <w:pPr>
        <w:spacing w:after="0" w:line="240" w:lineRule="auto"/>
      </w:pPr>
    </w:p>
    <w:p w:rsidR="00C718A4" w:rsidRPr="00D53845" w:rsidRDefault="00C718A4" w:rsidP="0036086D">
      <w:pPr>
        <w:spacing w:after="0" w:line="240" w:lineRule="auto"/>
      </w:pPr>
    </w:p>
    <w:p w:rsidR="009E62B2" w:rsidRPr="00D53845" w:rsidRDefault="00131940" w:rsidP="00131940">
      <w:pPr>
        <w:tabs>
          <w:tab w:val="left" w:pos="1791"/>
        </w:tabs>
        <w:spacing w:after="0" w:line="240" w:lineRule="auto"/>
      </w:pPr>
      <w:r>
        <w:tab/>
      </w:r>
    </w:p>
    <w:p w:rsidR="00E928AF" w:rsidRDefault="00E928AF" w:rsidP="0036086D">
      <w:pPr>
        <w:spacing w:line="240" w:lineRule="auto"/>
      </w:pPr>
    </w:p>
    <w:sectPr w:rsidR="00E928AF" w:rsidSect="00C718A4">
      <w:footerReference w:type="default" r:id="rId13"/>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31" w:rsidRDefault="00566731" w:rsidP="00340C49">
      <w:pPr>
        <w:spacing w:after="0" w:line="240" w:lineRule="auto"/>
      </w:pPr>
      <w:r>
        <w:separator/>
      </w:r>
    </w:p>
  </w:endnote>
  <w:endnote w:type="continuationSeparator" w:id="0">
    <w:p w:rsidR="00566731" w:rsidRDefault="00566731" w:rsidP="0034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17395"/>
      <w:docPartObj>
        <w:docPartGallery w:val="Page Numbers (Bottom of Page)"/>
        <w:docPartUnique/>
      </w:docPartObj>
    </w:sdtPr>
    <w:sdtEndPr>
      <w:rPr>
        <w:noProof/>
      </w:rPr>
    </w:sdtEndPr>
    <w:sdtContent>
      <w:p w:rsidR="0010380A" w:rsidRDefault="0010380A">
        <w:pPr>
          <w:pStyle w:val="Footer"/>
        </w:pPr>
      </w:p>
      <w:p w:rsidR="0010380A" w:rsidRDefault="0010380A">
        <w:pPr>
          <w:pStyle w:val="Footer"/>
        </w:pPr>
        <w:r>
          <w:fldChar w:fldCharType="begin"/>
        </w:r>
        <w:r>
          <w:instrText xml:space="preserve"> PAGE   \* MERGEFORMAT </w:instrText>
        </w:r>
        <w:r>
          <w:fldChar w:fldCharType="separate"/>
        </w:r>
        <w:r w:rsidR="001152C1">
          <w:rPr>
            <w:noProof/>
          </w:rPr>
          <w:t>3</w:t>
        </w:r>
        <w:r>
          <w:rPr>
            <w:noProof/>
          </w:rPr>
          <w:fldChar w:fldCharType="end"/>
        </w:r>
      </w:p>
    </w:sdtContent>
  </w:sdt>
  <w:p w:rsidR="00340C49" w:rsidRDefault="00340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31" w:rsidRDefault="00566731" w:rsidP="00340C49">
      <w:pPr>
        <w:spacing w:after="0" w:line="240" w:lineRule="auto"/>
      </w:pPr>
      <w:r>
        <w:separator/>
      </w:r>
    </w:p>
  </w:footnote>
  <w:footnote w:type="continuationSeparator" w:id="0">
    <w:p w:rsidR="00566731" w:rsidRDefault="00566731" w:rsidP="00340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076"/>
    <w:multiLevelType w:val="hybridMultilevel"/>
    <w:tmpl w:val="1CB4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96BD4"/>
    <w:multiLevelType w:val="hybridMultilevel"/>
    <w:tmpl w:val="D626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276EE3"/>
    <w:multiLevelType w:val="hybridMultilevel"/>
    <w:tmpl w:val="792E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384F25"/>
    <w:multiLevelType w:val="hybridMultilevel"/>
    <w:tmpl w:val="AE2E8E3E"/>
    <w:lvl w:ilvl="0" w:tplc="B8984DA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7F18D5"/>
    <w:multiLevelType w:val="hybridMultilevel"/>
    <w:tmpl w:val="CD8E80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7E3094"/>
    <w:multiLevelType w:val="multilevel"/>
    <w:tmpl w:val="A240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22D6A"/>
    <w:multiLevelType w:val="multilevel"/>
    <w:tmpl w:val="E15E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242FF"/>
    <w:multiLevelType w:val="hybridMultilevel"/>
    <w:tmpl w:val="D5C6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4245E"/>
    <w:multiLevelType w:val="hybridMultilevel"/>
    <w:tmpl w:val="A3AE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AE1F2E"/>
    <w:multiLevelType w:val="hybridMultilevel"/>
    <w:tmpl w:val="B424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E45B0B"/>
    <w:multiLevelType w:val="hybridMultilevel"/>
    <w:tmpl w:val="F85A2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B1A5155"/>
    <w:multiLevelType w:val="hybridMultilevel"/>
    <w:tmpl w:val="E17CF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C574D52"/>
    <w:multiLevelType w:val="hybridMultilevel"/>
    <w:tmpl w:val="239C9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6220588"/>
    <w:multiLevelType w:val="multilevel"/>
    <w:tmpl w:val="E024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203AAE"/>
    <w:multiLevelType w:val="hybridMultilevel"/>
    <w:tmpl w:val="C242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747BD0"/>
    <w:multiLevelType w:val="hybridMultilevel"/>
    <w:tmpl w:val="608C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22644F"/>
    <w:multiLevelType w:val="hybridMultilevel"/>
    <w:tmpl w:val="E892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C81CF3"/>
    <w:multiLevelType w:val="hybridMultilevel"/>
    <w:tmpl w:val="7CF65308"/>
    <w:lvl w:ilvl="0" w:tplc="56789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2E77DF"/>
    <w:multiLevelType w:val="hybridMultilevel"/>
    <w:tmpl w:val="DFA4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D137E8"/>
    <w:multiLevelType w:val="hybridMultilevel"/>
    <w:tmpl w:val="FEC8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7666CD"/>
    <w:multiLevelType w:val="hybridMultilevel"/>
    <w:tmpl w:val="011C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7232C8"/>
    <w:multiLevelType w:val="hybridMultilevel"/>
    <w:tmpl w:val="B1A2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4B0901"/>
    <w:multiLevelType w:val="hybridMultilevel"/>
    <w:tmpl w:val="134A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5A3B10"/>
    <w:multiLevelType w:val="hybridMultilevel"/>
    <w:tmpl w:val="23780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004833"/>
    <w:multiLevelType w:val="hybridMultilevel"/>
    <w:tmpl w:val="CE144A6E"/>
    <w:lvl w:ilvl="0" w:tplc="B8984DA6">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1013CF4"/>
    <w:multiLevelType w:val="hybridMultilevel"/>
    <w:tmpl w:val="1560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7613FC"/>
    <w:multiLevelType w:val="hybridMultilevel"/>
    <w:tmpl w:val="ABD8F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86D36C1"/>
    <w:multiLevelType w:val="hybridMultilevel"/>
    <w:tmpl w:val="1BD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737C91"/>
    <w:multiLevelType w:val="hybridMultilevel"/>
    <w:tmpl w:val="32A2B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AD7F5E"/>
    <w:multiLevelType w:val="hybridMultilevel"/>
    <w:tmpl w:val="F71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0"/>
  </w:num>
  <w:num w:numId="5">
    <w:abstractNumId w:val="27"/>
  </w:num>
  <w:num w:numId="6">
    <w:abstractNumId w:val="19"/>
  </w:num>
  <w:num w:numId="7">
    <w:abstractNumId w:val="25"/>
  </w:num>
  <w:num w:numId="8">
    <w:abstractNumId w:val="2"/>
  </w:num>
  <w:num w:numId="9">
    <w:abstractNumId w:val="22"/>
  </w:num>
  <w:num w:numId="10">
    <w:abstractNumId w:val="28"/>
  </w:num>
  <w:num w:numId="11">
    <w:abstractNumId w:val="1"/>
  </w:num>
  <w:num w:numId="12">
    <w:abstractNumId w:val="23"/>
  </w:num>
  <w:num w:numId="13">
    <w:abstractNumId w:val="21"/>
  </w:num>
  <w:num w:numId="14">
    <w:abstractNumId w:val="14"/>
  </w:num>
  <w:num w:numId="15">
    <w:abstractNumId w:val="9"/>
  </w:num>
  <w:num w:numId="16">
    <w:abstractNumId w:val="7"/>
  </w:num>
  <w:num w:numId="17">
    <w:abstractNumId w:val="4"/>
  </w:num>
  <w:num w:numId="18">
    <w:abstractNumId w:val="11"/>
  </w:num>
  <w:num w:numId="19">
    <w:abstractNumId w:val="26"/>
  </w:num>
  <w:num w:numId="20">
    <w:abstractNumId w:val="12"/>
  </w:num>
  <w:num w:numId="21">
    <w:abstractNumId w:val="20"/>
  </w:num>
  <w:num w:numId="22">
    <w:abstractNumId w:val="22"/>
  </w:num>
  <w:num w:numId="23">
    <w:abstractNumId w:val="29"/>
  </w:num>
  <w:num w:numId="24">
    <w:abstractNumId w:val="8"/>
  </w:num>
  <w:num w:numId="25">
    <w:abstractNumId w:val="10"/>
  </w:num>
  <w:num w:numId="26">
    <w:abstractNumId w:val="17"/>
  </w:num>
  <w:num w:numId="27">
    <w:abstractNumId w:val="13"/>
  </w:num>
  <w:num w:numId="28">
    <w:abstractNumId w:val="5"/>
  </w:num>
  <w:num w:numId="29">
    <w:abstractNumId w:val="6"/>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60"/>
    <w:rsid w:val="0002497F"/>
    <w:rsid w:val="00045828"/>
    <w:rsid w:val="00070539"/>
    <w:rsid w:val="00075092"/>
    <w:rsid w:val="00086E91"/>
    <w:rsid w:val="000B75FE"/>
    <w:rsid w:val="000F1922"/>
    <w:rsid w:val="0010380A"/>
    <w:rsid w:val="00105D29"/>
    <w:rsid w:val="001152C1"/>
    <w:rsid w:val="00131159"/>
    <w:rsid w:val="00131940"/>
    <w:rsid w:val="0013398B"/>
    <w:rsid w:val="00142E22"/>
    <w:rsid w:val="00145CF2"/>
    <w:rsid w:val="00151FD4"/>
    <w:rsid w:val="00181B1E"/>
    <w:rsid w:val="00191067"/>
    <w:rsid w:val="001B2EFC"/>
    <w:rsid w:val="001B2FF1"/>
    <w:rsid w:val="001C5F09"/>
    <w:rsid w:val="001D1D31"/>
    <w:rsid w:val="00217ED2"/>
    <w:rsid w:val="00277501"/>
    <w:rsid w:val="00291067"/>
    <w:rsid w:val="002C6E9C"/>
    <w:rsid w:val="00314601"/>
    <w:rsid w:val="00340C49"/>
    <w:rsid w:val="003510EB"/>
    <w:rsid w:val="00357C4E"/>
    <w:rsid w:val="0036086D"/>
    <w:rsid w:val="00365B11"/>
    <w:rsid w:val="0038012E"/>
    <w:rsid w:val="00396FE4"/>
    <w:rsid w:val="003F5303"/>
    <w:rsid w:val="00450B79"/>
    <w:rsid w:val="00481F82"/>
    <w:rsid w:val="004B1390"/>
    <w:rsid w:val="004E76F4"/>
    <w:rsid w:val="00542AAD"/>
    <w:rsid w:val="00555C46"/>
    <w:rsid w:val="00566731"/>
    <w:rsid w:val="00573B65"/>
    <w:rsid w:val="005B64A2"/>
    <w:rsid w:val="005D0793"/>
    <w:rsid w:val="00610E72"/>
    <w:rsid w:val="0062411B"/>
    <w:rsid w:val="00663478"/>
    <w:rsid w:val="00670741"/>
    <w:rsid w:val="006C78A2"/>
    <w:rsid w:val="006C7BC7"/>
    <w:rsid w:val="0072627E"/>
    <w:rsid w:val="0073419F"/>
    <w:rsid w:val="0074017B"/>
    <w:rsid w:val="00754F67"/>
    <w:rsid w:val="007A2698"/>
    <w:rsid w:val="007B019F"/>
    <w:rsid w:val="007B6BE7"/>
    <w:rsid w:val="007F2DF3"/>
    <w:rsid w:val="00857EF5"/>
    <w:rsid w:val="008725AA"/>
    <w:rsid w:val="00877800"/>
    <w:rsid w:val="00884108"/>
    <w:rsid w:val="008A22E3"/>
    <w:rsid w:val="008D1CAA"/>
    <w:rsid w:val="00921052"/>
    <w:rsid w:val="00923BDE"/>
    <w:rsid w:val="009274D7"/>
    <w:rsid w:val="00961958"/>
    <w:rsid w:val="009828C0"/>
    <w:rsid w:val="009A7931"/>
    <w:rsid w:val="009B492C"/>
    <w:rsid w:val="009C5246"/>
    <w:rsid w:val="009E4A79"/>
    <w:rsid w:val="009E62B2"/>
    <w:rsid w:val="00A1260A"/>
    <w:rsid w:val="00A447EE"/>
    <w:rsid w:val="00A668A1"/>
    <w:rsid w:val="00AC64A5"/>
    <w:rsid w:val="00AE67AA"/>
    <w:rsid w:val="00B45DE1"/>
    <w:rsid w:val="00B84D2E"/>
    <w:rsid w:val="00B865EE"/>
    <w:rsid w:val="00BC654B"/>
    <w:rsid w:val="00BE1149"/>
    <w:rsid w:val="00C10E4F"/>
    <w:rsid w:val="00C22103"/>
    <w:rsid w:val="00C53C29"/>
    <w:rsid w:val="00C60905"/>
    <w:rsid w:val="00C718A4"/>
    <w:rsid w:val="00C86511"/>
    <w:rsid w:val="00C86BD3"/>
    <w:rsid w:val="00CA2399"/>
    <w:rsid w:val="00CA23B6"/>
    <w:rsid w:val="00CB78C4"/>
    <w:rsid w:val="00CD625C"/>
    <w:rsid w:val="00CD6633"/>
    <w:rsid w:val="00D033F4"/>
    <w:rsid w:val="00D30CB8"/>
    <w:rsid w:val="00D42AF9"/>
    <w:rsid w:val="00D53845"/>
    <w:rsid w:val="00D55260"/>
    <w:rsid w:val="00D8504E"/>
    <w:rsid w:val="00DA4B02"/>
    <w:rsid w:val="00DE541A"/>
    <w:rsid w:val="00E54AE0"/>
    <w:rsid w:val="00E928AF"/>
    <w:rsid w:val="00E973E2"/>
    <w:rsid w:val="00EA178F"/>
    <w:rsid w:val="00ED32D6"/>
    <w:rsid w:val="00F05AF3"/>
    <w:rsid w:val="00F351EA"/>
    <w:rsid w:val="00F35703"/>
    <w:rsid w:val="00F36E29"/>
    <w:rsid w:val="00F73E70"/>
    <w:rsid w:val="00F76966"/>
    <w:rsid w:val="00FC030F"/>
    <w:rsid w:val="00FC49E5"/>
    <w:rsid w:val="00FC7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FD4"/>
    <w:rPr>
      <w:color w:val="0000FF" w:themeColor="hyperlink"/>
      <w:u w:val="single"/>
    </w:rPr>
  </w:style>
  <w:style w:type="paragraph" w:styleId="ListParagraph">
    <w:name w:val="List Paragraph"/>
    <w:basedOn w:val="Normal"/>
    <w:uiPriority w:val="34"/>
    <w:qFormat/>
    <w:rsid w:val="00151FD4"/>
    <w:pPr>
      <w:ind w:left="720"/>
      <w:contextualSpacing/>
    </w:pPr>
  </w:style>
  <w:style w:type="table" w:styleId="TableGrid">
    <w:name w:val="Table Grid"/>
    <w:basedOn w:val="TableNormal"/>
    <w:uiPriority w:val="59"/>
    <w:rsid w:val="0015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C49"/>
  </w:style>
  <w:style w:type="paragraph" w:styleId="Footer">
    <w:name w:val="footer"/>
    <w:basedOn w:val="Normal"/>
    <w:link w:val="FooterChar"/>
    <w:uiPriority w:val="99"/>
    <w:unhideWhenUsed/>
    <w:rsid w:val="00340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C49"/>
  </w:style>
  <w:style w:type="character" w:styleId="Emphasis">
    <w:name w:val="Emphasis"/>
    <w:basedOn w:val="DefaultParagraphFont"/>
    <w:uiPriority w:val="20"/>
    <w:qFormat/>
    <w:rsid w:val="00BC654B"/>
    <w:rPr>
      <w:b/>
      <w:bCs/>
      <w:i w:val="0"/>
      <w:iCs w:val="0"/>
    </w:rPr>
  </w:style>
  <w:style w:type="character" w:customStyle="1" w:styleId="st1">
    <w:name w:val="st1"/>
    <w:basedOn w:val="DefaultParagraphFont"/>
    <w:rsid w:val="00BC654B"/>
  </w:style>
  <w:style w:type="paragraph" w:styleId="BalloonText">
    <w:name w:val="Balloon Text"/>
    <w:basedOn w:val="Normal"/>
    <w:link w:val="BalloonTextChar"/>
    <w:uiPriority w:val="99"/>
    <w:semiHidden/>
    <w:unhideWhenUsed/>
    <w:rsid w:val="0010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FD4"/>
    <w:rPr>
      <w:color w:val="0000FF" w:themeColor="hyperlink"/>
      <w:u w:val="single"/>
    </w:rPr>
  </w:style>
  <w:style w:type="paragraph" w:styleId="ListParagraph">
    <w:name w:val="List Paragraph"/>
    <w:basedOn w:val="Normal"/>
    <w:uiPriority w:val="34"/>
    <w:qFormat/>
    <w:rsid w:val="00151FD4"/>
    <w:pPr>
      <w:ind w:left="720"/>
      <w:contextualSpacing/>
    </w:pPr>
  </w:style>
  <w:style w:type="table" w:styleId="TableGrid">
    <w:name w:val="Table Grid"/>
    <w:basedOn w:val="TableNormal"/>
    <w:uiPriority w:val="59"/>
    <w:rsid w:val="0015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C49"/>
  </w:style>
  <w:style w:type="paragraph" w:styleId="Footer">
    <w:name w:val="footer"/>
    <w:basedOn w:val="Normal"/>
    <w:link w:val="FooterChar"/>
    <w:uiPriority w:val="99"/>
    <w:unhideWhenUsed/>
    <w:rsid w:val="00340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C49"/>
  </w:style>
  <w:style w:type="character" w:styleId="Emphasis">
    <w:name w:val="Emphasis"/>
    <w:basedOn w:val="DefaultParagraphFont"/>
    <w:uiPriority w:val="20"/>
    <w:qFormat/>
    <w:rsid w:val="00BC654B"/>
    <w:rPr>
      <w:b/>
      <w:bCs/>
      <w:i w:val="0"/>
      <w:iCs w:val="0"/>
    </w:rPr>
  </w:style>
  <w:style w:type="character" w:customStyle="1" w:styleId="st1">
    <w:name w:val="st1"/>
    <w:basedOn w:val="DefaultParagraphFont"/>
    <w:rsid w:val="00BC654B"/>
  </w:style>
  <w:style w:type="paragraph" w:styleId="BalloonText">
    <w:name w:val="Balloon Text"/>
    <w:basedOn w:val="Normal"/>
    <w:link w:val="BalloonTextChar"/>
    <w:uiPriority w:val="99"/>
    <w:semiHidden/>
    <w:unhideWhenUsed/>
    <w:rsid w:val="0010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2358">
      <w:bodyDiv w:val="1"/>
      <w:marLeft w:val="0"/>
      <w:marRight w:val="0"/>
      <w:marTop w:val="0"/>
      <w:marBottom w:val="0"/>
      <w:divBdr>
        <w:top w:val="none" w:sz="0" w:space="0" w:color="auto"/>
        <w:left w:val="none" w:sz="0" w:space="0" w:color="auto"/>
        <w:bottom w:val="none" w:sz="0" w:space="0" w:color="auto"/>
        <w:right w:val="none" w:sz="0" w:space="0" w:color="auto"/>
      </w:divBdr>
    </w:div>
    <w:div w:id="316812953">
      <w:bodyDiv w:val="1"/>
      <w:marLeft w:val="0"/>
      <w:marRight w:val="0"/>
      <w:marTop w:val="0"/>
      <w:marBottom w:val="0"/>
      <w:divBdr>
        <w:top w:val="none" w:sz="0" w:space="0" w:color="auto"/>
        <w:left w:val="none" w:sz="0" w:space="0" w:color="auto"/>
        <w:bottom w:val="none" w:sz="0" w:space="0" w:color="auto"/>
        <w:right w:val="none" w:sz="0" w:space="0" w:color="auto"/>
      </w:divBdr>
    </w:div>
    <w:div w:id="564679786">
      <w:bodyDiv w:val="1"/>
      <w:marLeft w:val="0"/>
      <w:marRight w:val="0"/>
      <w:marTop w:val="0"/>
      <w:marBottom w:val="0"/>
      <w:divBdr>
        <w:top w:val="none" w:sz="0" w:space="0" w:color="auto"/>
        <w:left w:val="none" w:sz="0" w:space="0" w:color="auto"/>
        <w:bottom w:val="none" w:sz="0" w:space="0" w:color="auto"/>
        <w:right w:val="none" w:sz="0" w:space="0" w:color="auto"/>
      </w:divBdr>
    </w:div>
    <w:div w:id="578636011">
      <w:bodyDiv w:val="1"/>
      <w:marLeft w:val="0"/>
      <w:marRight w:val="0"/>
      <w:marTop w:val="0"/>
      <w:marBottom w:val="0"/>
      <w:divBdr>
        <w:top w:val="none" w:sz="0" w:space="0" w:color="auto"/>
        <w:left w:val="none" w:sz="0" w:space="0" w:color="auto"/>
        <w:bottom w:val="none" w:sz="0" w:space="0" w:color="auto"/>
        <w:right w:val="none" w:sz="0" w:space="0" w:color="auto"/>
      </w:divBdr>
    </w:div>
    <w:div w:id="664940843">
      <w:bodyDiv w:val="1"/>
      <w:marLeft w:val="0"/>
      <w:marRight w:val="0"/>
      <w:marTop w:val="0"/>
      <w:marBottom w:val="0"/>
      <w:divBdr>
        <w:top w:val="none" w:sz="0" w:space="0" w:color="auto"/>
        <w:left w:val="none" w:sz="0" w:space="0" w:color="auto"/>
        <w:bottom w:val="none" w:sz="0" w:space="0" w:color="auto"/>
        <w:right w:val="none" w:sz="0" w:space="0" w:color="auto"/>
      </w:divBdr>
    </w:div>
    <w:div w:id="977300955">
      <w:bodyDiv w:val="1"/>
      <w:marLeft w:val="0"/>
      <w:marRight w:val="0"/>
      <w:marTop w:val="0"/>
      <w:marBottom w:val="0"/>
      <w:divBdr>
        <w:top w:val="none" w:sz="0" w:space="0" w:color="auto"/>
        <w:left w:val="none" w:sz="0" w:space="0" w:color="auto"/>
        <w:bottom w:val="none" w:sz="0" w:space="0" w:color="auto"/>
        <w:right w:val="none" w:sz="0" w:space="0" w:color="auto"/>
      </w:divBdr>
      <w:divsChild>
        <w:div w:id="1205484269">
          <w:marLeft w:val="0"/>
          <w:marRight w:val="0"/>
          <w:marTop w:val="0"/>
          <w:marBottom w:val="0"/>
          <w:divBdr>
            <w:top w:val="none" w:sz="0" w:space="0" w:color="auto"/>
            <w:left w:val="none" w:sz="0" w:space="0" w:color="auto"/>
            <w:bottom w:val="none" w:sz="0" w:space="0" w:color="auto"/>
            <w:right w:val="none" w:sz="0" w:space="0" w:color="auto"/>
          </w:divBdr>
          <w:divsChild>
            <w:div w:id="1275597987">
              <w:marLeft w:val="0"/>
              <w:marRight w:val="0"/>
              <w:marTop w:val="0"/>
              <w:marBottom w:val="0"/>
              <w:divBdr>
                <w:top w:val="none" w:sz="0" w:space="0" w:color="auto"/>
                <w:left w:val="none" w:sz="0" w:space="0" w:color="auto"/>
                <w:bottom w:val="none" w:sz="0" w:space="0" w:color="auto"/>
                <w:right w:val="none" w:sz="0" w:space="0" w:color="auto"/>
              </w:divBdr>
              <w:divsChild>
                <w:div w:id="219559832">
                  <w:marLeft w:val="0"/>
                  <w:marRight w:val="0"/>
                  <w:marTop w:val="0"/>
                  <w:marBottom w:val="0"/>
                  <w:divBdr>
                    <w:top w:val="none" w:sz="0" w:space="0" w:color="auto"/>
                    <w:left w:val="none" w:sz="0" w:space="0" w:color="auto"/>
                    <w:bottom w:val="none" w:sz="0" w:space="0" w:color="auto"/>
                    <w:right w:val="none" w:sz="0" w:space="0" w:color="auto"/>
                  </w:divBdr>
                  <w:divsChild>
                    <w:div w:id="586304648">
                      <w:marLeft w:val="-225"/>
                      <w:marRight w:val="-225"/>
                      <w:marTop w:val="0"/>
                      <w:marBottom w:val="0"/>
                      <w:divBdr>
                        <w:top w:val="none" w:sz="0" w:space="0" w:color="auto"/>
                        <w:left w:val="none" w:sz="0" w:space="0" w:color="auto"/>
                        <w:bottom w:val="none" w:sz="0" w:space="0" w:color="auto"/>
                        <w:right w:val="none" w:sz="0" w:space="0" w:color="auto"/>
                      </w:divBdr>
                      <w:divsChild>
                        <w:div w:id="1476725278">
                          <w:marLeft w:val="0"/>
                          <w:marRight w:val="0"/>
                          <w:marTop w:val="0"/>
                          <w:marBottom w:val="0"/>
                          <w:divBdr>
                            <w:top w:val="none" w:sz="0" w:space="0" w:color="auto"/>
                            <w:left w:val="none" w:sz="0" w:space="0" w:color="auto"/>
                            <w:bottom w:val="none" w:sz="0" w:space="0" w:color="auto"/>
                            <w:right w:val="none" w:sz="0" w:space="0" w:color="auto"/>
                          </w:divBdr>
                          <w:divsChild>
                            <w:div w:id="672300366">
                              <w:marLeft w:val="0"/>
                              <w:marRight w:val="0"/>
                              <w:marTop w:val="0"/>
                              <w:marBottom w:val="0"/>
                              <w:divBdr>
                                <w:top w:val="none" w:sz="0" w:space="0" w:color="auto"/>
                                <w:left w:val="none" w:sz="0" w:space="0" w:color="auto"/>
                                <w:bottom w:val="none" w:sz="0" w:space="0" w:color="auto"/>
                                <w:right w:val="none" w:sz="0" w:space="0" w:color="auto"/>
                              </w:divBdr>
                              <w:divsChild>
                                <w:div w:id="1683702232">
                                  <w:marLeft w:val="0"/>
                                  <w:marRight w:val="0"/>
                                  <w:marTop w:val="0"/>
                                  <w:marBottom w:val="0"/>
                                  <w:divBdr>
                                    <w:top w:val="none" w:sz="0" w:space="0" w:color="auto"/>
                                    <w:left w:val="none" w:sz="0" w:space="0" w:color="auto"/>
                                    <w:bottom w:val="none" w:sz="0" w:space="0" w:color="auto"/>
                                    <w:right w:val="none" w:sz="0" w:space="0" w:color="auto"/>
                                  </w:divBdr>
                                  <w:divsChild>
                                    <w:div w:id="4520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422053">
      <w:bodyDiv w:val="1"/>
      <w:marLeft w:val="0"/>
      <w:marRight w:val="0"/>
      <w:marTop w:val="0"/>
      <w:marBottom w:val="0"/>
      <w:divBdr>
        <w:top w:val="none" w:sz="0" w:space="0" w:color="auto"/>
        <w:left w:val="none" w:sz="0" w:space="0" w:color="auto"/>
        <w:bottom w:val="none" w:sz="0" w:space="0" w:color="auto"/>
        <w:right w:val="none" w:sz="0" w:space="0" w:color="auto"/>
      </w:divBdr>
    </w:div>
    <w:div w:id="1708530660">
      <w:bodyDiv w:val="1"/>
      <w:marLeft w:val="0"/>
      <w:marRight w:val="0"/>
      <w:marTop w:val="0"/>
      <w:marBottom w:val="0"/>
      <w:divBdr>
        <w:top w:val="none" w:sz="0" w:space="0" w:color="auto"/>
        <w:left w:val="none" w:sz="0" w:space="0" w:color="auto"/>
        <w:bottom w:val="none" w:sz="0" w:space="0" w:color="auto"/>
        <w:right w:val="none" w:sz="0" w:space="0" w:color="auto"/>
      </w:divBdr>
    </w:div>
    <w:div w:id="1731998904">
      <w:bodyDiv w:val="1"/>
      <w:marLeft w:val="0"/>
      <w:marRight w:val="0"/>
      <w:marTop w:val="0"/>
      <w:marBottom w:val="0"/>
      <w:divBdr>
        <w:top w:val="none" w:sz="0" w:space="0" w:color="auto"/>
        <w:left w:val="none" w:sz="0" w:space="0" w:color="auto"/>
        <w:bottom w:val="none" w:sz="0" w:space="0" w:color="auto"/>
        <w:right w:val="none" w:sz="0" w:space="0" w:color="auto"/>
      </w:divBdr>
    </w:div>
    <w:div w:id="1876501177">
      <w:bodyDiv w:val="1"/>
      <w:marLeft w:val="0"/>
      <w:marRight w:val="0"/>
      <w:marTop w:val="0"/>
      <w:marBottom w:val="0"/>
      <w:divBdr>
        <w:top w:val="none" w:sz="0" w:space="0" w:color="auto"/>
        <w:left w:val="none" w:sz="0" w:space="0" w:color="auto"/>
        <w:bottom w:val="none" w:sz="0" w:space="0" w:color="auto"/>
        <w:right w:val="none" w:sz="0" w:space="0" w:color="auto"/>
      </w:divBdr>
    </w:div>
    <w:div w:id="21299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eatplac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mountford@greatplaces.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munity.Investment@greatplaces.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DA2A-5192-4DD1-8DE9-FDB4C83B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Mountford</dc:creator>
  <cp:lastModifiedBy>Daniel Mountford</cp:lastModifiedBy>
  <cp:revision>56</cp:revision>
  <dcterms:created xsi:type="dcterms:W3CDTF">2020-06-25T11:05:00Z</dcterms:created>
  <dcterms:modified xsi:type="dcterms:W3CDTF">2020-12-22T08:25:00Z</dcterms:modified>
</cp:coreProperties>
</file>