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E6EE" w14:textId="53890021" w:rsidR="0073494A" w:rsidRPr="00D84134" w:rsidRDefault="005A4B1E" w:rsidP="00D84134">
      <w:pPr>
        <w:pStyle w:val="Heading1"/>
        <w:spacing w:before="0" w:after="0"/>
        <w:rPr>
          <w:rFonts w:cs="Arial"/>
          <w:sz w:val="32"/>
        </w:rPr>
      </w:pPr>
      <w:r w:rsidRPr="00D84134">
        <w:rPr>
          <w:rFonts w:cs="Arial"/>
          <w:sz w:val="32"/>
          <w:highlight w:val="yellow"/>
        </w:rPr>
        <w:t>ANYORG</w:t>
      </w:r>
      <w:r w:rsidR="0073494A" w:rsidRPr="00D84134">
        <w:rPr>
          <w:rFonts w:cs="Arial"/>
          <w:sz w:val="32"/>
        </w:rPr>
        <w:t xml:space="preserve">: </w:t>
      </w:r>
      <w:r w:rsidR="001020E6" w:rsidRPr="00D84134">
        <w:rPr>
          <w:rFonts w:cs="Arial"/>
          <w:sz w:val="32"/>
        </w:rPr>
        <w:t>Whistle-blow</w:t>
      </w:r>
      <w:r w:rsidR="0073494A" w:rsidRPr="00D84134">
        <w:rPr>
          <w:rFonts w:cs="Arial"/>
          <w:sz w:val="32"/>
        </w:rPr>
        <w:t xml:space="preserve">ing Policy </w:t>
      </w:r>
    </w:p>
    <w:p w14:paraId="238501AB" w14:textId="61304FA0" w:rsidR="005956FC" w:rsidRPr="00D84134" w:rsidRDefault="00CF32C2" w:rsidP="00D84134">
      <w:pPr>
        <w:pStyle w:val="Heading5"/>
        <w:spacing w:before="0" w:after="0"/>
        <w:rPr>
          <w:rFonts w:cs="Arial"/>
          <w:szCs w:val="24"/>
        </w:rPr>
      </w:pPr>
      <w:r w:rsidRPr="00D84134">
        <w:rPr>
          <w:rFonts w:cs="Arial"/>
          <w:szCs w:val="24"/>
          <w:highlight w:val="yellow"/>
        </w:rPr>
        <w:t xml:space="preserve">Approved by Board, </w:t>
      </w:r>
      <w:r w:rsidR="00F44913" w:rsidRPr="00D84134">
        <w:rPr>
          <w:rFonts w:cs="Arial"/>
          <w:szCs w:val="24"/>
          <w:highlight w:val="yellow"/>
        </w:rPr>
        <w:t>[date]</w:t>
      </w:r>
    </w:p>
    <w:p w14:paraId="2B327125" w14:textId="77777777" w:rsidR="00D84134" w:rsidRPr="00D84134" w:rsidRDefault="00D84134" w:rsidP="00D84134">
      <w:pPr>
        <w:pStyle w:val="Heading4"/>
        <w:spacing w:before="0"/>
        <w:rPr>
          <w:rFonts w:cs="Arial"/>
        </w:rPr>
      </w:pPr>
    </w:p>
    <w:p w14:paraId="409DC25B" w14:textId="62928CDA" w:rsidR="00631584" w:rsidRPr="00D84134" w:rsidRDefault="00631584" w:rsidP="00D84134">
      <w:pPr>
        <w:pStyle w:val="Heading4"/>
        <w:spacing w:before="0"/>
        <w:rPr>
          <w:rFonts w:cs="Arial"/>
        </w:rPr>
      </w:pPr>
      <w:r w:rsidRPr="00D84134">
        <w:rPr>
          <w:rFonts w:cs="Arial"/>
        </w:rPr>
        <w:t>Purpose</w:t>
      </w:r>
    </w:p>
    <w:p w14:paraId="7F35F09A" w14:textId="4F2B6323" w:rsidR="00631584" w:rsidRPr="00D84134" w:rsidRDefault="00631584" w:rsidP="00D84134">
      <w:pPr>
        <w:spacing w:before="0"/>
        <w:rPr>
          <w:rFonts w:cs="Arial"/>
        </w:rPr>
      </w:pPr>
      <w:r w:rsidRPr="00D84134">
        <w:rPr>
          <w:rFonts w:cs="Arial"/>
        </w:rPr>
        <w:t>The purpose of this pol</w:t>
      </w:r>
      <w:r w:rsidR="00CF5A8C" w:rsidRPr="00D84134">
        <w:rPr>
          <w:rFonts w:cs="Arial"/>
        </w:rPr>
        <w:t xml:space="preserve">icy is to ensure that workers at </w:t>
      </w:r>
      <w:r w:rsidR="005A4B1E" w:rsidRPr="00D84134">
        <w:rPr>
          <w:rFonts w:cs="Arial"/>
          <w:highlight w:val="yellow"/>
        </w:rPr>
        <w:t>ANYORG</w:t>
      </w:r>
      <w:r w:rsidR="00CF5A8C" w:rsidRPr="00D84134">
        <w:rPr>
          <w:rFonts w:cs="Arial"/>
        </w:rPr>
        <w:t xml:space="preserve"> </w:t>
      </w:r>
      <w:r w:rsidRPr="00D84134">
        <w:rPr>
          <w:rFonts w:cs="Arial"/>
        </w:rPr>
        <w:t>understand:</w:t>
      </w:r>
    </w:p>
    <w:p w14:paraId="535C3217" w14:textId="764D91EE" w:rsidR="00631584" w:rsidRPr="00D84134" w:rsidRDefault="00D84134" w:rsidP="00D84134">
      <w:pPr>
        <w:pStyle w:val="ListBullet"/>
        <w:rPr>
          <w:rFonts w:cs="Arial"/>
        </w:rPr>
      </w:pPr>
      <w:r w:rsidRPr="00D84134">
        <w:rPr>
          <w:rFonts w:cs="Arial"/>
        </w:rPr>
        <w:t xml:space="preserve">The precise circumstances in which they are entitled to break with the normal requirements of confidentiality in </w:t>
      </w:r>
      <w:r w:rsidR="00CF5A8C" w:rsidRPr="00D84134">
        <w:rPr>
          <w:rFonts w:cs="Arial"/>
        </w:rPr>
        <w:t>by disclosing information</w:t>
      </w:r>
      <w:r>
        <w:rPr>
          <w:rFonts w:cs="Arial"/>
        </w:rPr>
        <w:t xml:space="preserve"> in the wider public interest</w:t>
      </w:r>
    </w:p>
    <w:p w14:paraId="12FA76CC" w14:textId="2A2AC610" w:rsidR="00631584" w:rsidRPr="00D84134" w:rsidRDefault="00D84134" w:rsidP="00D84134">
      <w:pPr>
        <w:pStyle w:val="ListBullet"/>
        <w:rPr>
          <w:rFonts w:cs="Arial"/>
        </w:rPr>
      </w:pPr>
      <w:r w:rsidRPr="00D84134">
        <w:rPr>
          <w:rFonts w:cs="Arial"/>
        </w:rPr>
        <w:t xml:space="preserve">The </w:t>
      </w:r>
      <w:r w:rsidR="00066DC0" w:rsidRPr="00D84134">
        <w:rPr>
          <w:rFonts w:cs="Arial"/>
        </w:rPr>
        <w:t xml:space="preserve">suggested </w:t>
      </w:r>
      <w:r w:rsidR="00631584" w:rsidRPr="00D84134">
        <w:rPr>
          <w:rFonts w:cs="Arial"/>
        </w:rPr>
        <w:t xml:space="preserve">procedure to </w:t>
      </w:r>
      <w:r>
        <w:rPr>
          <w:rFonts w:cs="Arial"/>
        </w:rPr>
        <w:t>be followed in such a situation,</w:t>
      </w:r>
      <w:r w:rsidR="00631584" w:rsidRPr="00D84134">
        <w:rPr>
          <w:rFonts w:cs="Arial"/>
        </w:rPr>
        <w:t xml:space="preserve"> and</w:t>
      </w:r>
    </w:p>
    <w:p w14:paraId="2DAC2CCE" w14:textId="53C9E729" w:rsidR="00631584" w:rsidRPr="00D84134" w:rsidRDefault="00D84134" w:rsidP="00D84134">
      <w:pPr>
        <w:pStyle w:val="ListBullet"/>
        <w:rPr>
          <w:rFonts w:cs="Arial"/>
        </w:rPr>
      </w:pPr>
      <w:r w:rsidRPr="00D84134">
        <w:rPr>
          <w:rFonts w:cs="Arial"/>
        </w:rPr>
        <w:t xml:space="preserve">The </w:t>
      </w:r>
      <w:r w:rsidR="00CF5A8C" w:rsidRPr="00D84134">
        <w:rPr>
          <w:rFonts w:cs="Arial"/>
        </w:rPr>
        <w:t xml:space="preserve">degree of </w:t>
      </w:r>
      <w:r w:rsidR="00631584" w:rsidRPr="00D84134">
        <w:rPr>
          <w:rFonts w:cs="Arial"/>
        </w:rPr>
        <w:t>protection from victimisa</w:t>
      </w:r>
      <w:r w:rsidR="00066DC0" w:rsidRPr="00D84134">
        <w:rPr>
          <w:rFonts w:cs="Arial"/>
        </w:rPr>
        <w:t xml:space="preserve">tion to which they are entitled under the </w:t>
      </w:r>
      <w:hyperlink r:id="rId7" w:history="1">
        <w:r w:rsidR="00066DC0" w:rsidRPr="00D84134">
          <w:rPr>
            <w:rStyle w:val="Hyperlink"/>
            <w:rFonts w:cs="Arial"/>
          </w:rPr>
          <w:t>Public Interest Disclosure A</w:t>
        </w:r>
        <w:r w:rsidR="005352B6" w:rsidRPr="00D84134">
          <w:rPr>
            <w:rStyle w:val="Hyperlink"/>
            <w:rFonts w:cs="Arial"/>
          </w:rPr>
          <w:t>ct 1998</w:t>
        </w:r>
      </w:hyperlink>
    </w:p>
    <w:p w14:paraId="413F9342" w14:textId="143245E2" w:rsidR="005352B6" w:rsidRPr="00D84134" w:rsidRDefault="005A4B1E" w:rsidP="00D84134">
      <w:pPr>
        <w:pStyle w:val="ListBullet"/>
        <w:rPr>
          <w:rFonts w:cs="Arial"/>
        </w:rPr>
      </w:pPr>
      <w:r w:rsidRPr="00D84134">
        <w:rPr>
          <w:rFonts w:cs="Arial"/>
          <w:highlight w:val="yellow"/>
        </w:rPr>
        <w:t>ANYORG</w:t>
      </w:r>
      <w:r w:rsidR="00D84134" w:rsidRPr="00D84134">
        <w:rPr>
          <w:rFonts w:cs="Arial"/>
          <w:highlight w:val="yellow"/>
        </w:rPr>
        <w:t>’s</w:t>
      </w:r>
      <w:r w:rsidR="00D84134">
        <w:rPr>
          <w:rFonts w:cs="Arial"/>
        </w:rPr>
        <w:t xml:space="preserve"> commitment on this issue</w:t>
      </w:r>
    </w:p>
    <w:p w14:paraId="14E7CAD2" w14:textId="77777777" w:rsidR="00D84134" w:rsidRPr="00D84134" w:rsidRDefault="00D84134" w:rsidP="00D84134">
      <w:pPr>
        <w:pStyle w:val="Heading4"/>
        <w:spacing w:before="0"/>
        <w:rPr>
          <w:rFonts w:cs="Arial"/>
        </w:rPr>
      </w:pPr>
    </w:p>
    <w:p w14:paraId="3F011C33" w14:textId="2F5551C1" w:rsidR="005352B6" w:rsidRPr="00D84134" w:rsidRDefault="00D84134" w:rsidP="00D84134">
      <w:pPr>
        <w:pStyle w:val="Heading4"/>
        <w:spacing w:before="0"/>
        <w:rPr>
          <w:rFonts w:cs="Arial"/>
        </w:rPr>
      </w:pPr>
      <w:r>
        <w:rPr>
          <w:rFonts w:cs="Arial"/>
        </w:rPr>
        <w:t>Policy s</w:t>
      </w:r>
      <w:r w:rsidR="005352B6" w:rsidRPr="00D84134">
        <w:rPr>
          <w:rFonts w:cs="Arial"/>
        </w:rPr>
        <w:t>tatement</w:t>
      </w:r>
    </w:p>
    <w:p w14:paraId="28A3A679" w14:textId="6B732A00" w:rsidR="005352B6" w:rsidRPr="00D84134" w:rsidRDefault="005C1FFB" w:rsidP="00D84134">
      <w:pPr>
        <w:spacing w:before="0"/>
        <w:rPr>
          <w:rFonts w:cs="Arial"/>
        </w:rPr>
      </w:pPr>
      <w:r w:rsidRPr="00D84134">
        <w:rPr>
          <w:rFonts w:cs="Arial"/>
        </w:rPr>
        <w:t xml:space="preserve">The </w:t>
      </w:r>
      <w:r w:rsidR="005A4B1E" w:rsidRPr="00D84134">
        <w:rPr>
          <w:rFonts w:cs="Arial"/>
          <w:highlight w:val="yellow"/>
        </w:rPr>
        <w:t>ANYORG</w:t>
      </w:r>
      <w:r w:rsidR="005352B6" w:rsidRPr="00D84134">
        <w:rPr>
          <w:rFonts w:cs="Arial"/>
        </w:rPr>
        <w:t xml:space="preserve"> </w:t>
      </w:r>
      <w:r w:rsidRPr="00D84134">
        <w:rPr>
          <w:rFonts w:cs="Arial"/>
        </w:rPr>
        <w:t xml:space="preserve">Board of Trustees </w:t>
      </w:r>
      <w:r w:rsidR="005352B6" w:rsidRPr="00D84134">
        <w:rPr>
          <w:rFonts w:cs="Arial"/>
        </w:rPr>
        <w:t xml:space="preserve">starts from the position that any concerns on matters of public interest (even if they subsequently turn out to be unfounded) </w:t>
      </w:r>
      <w:r w:rsidRPr="00D84134">
        <w:rPr>
          <w:rFonts w:cs="Arial"/>
        </w:rPr>
        <w:t xml:space="preserve">are concerns that </w:t>
      </w:r>
      <w:r w:rsidR="005352B6" w:rsidRPr="00D84134">
        <w:rPr>
          <w:rFonts w:cs="Arial"/>
        </w:rPr>
        <w:t>should be shared by the charity’s managers and Board</w:t>
      </w:r>
      <w:r w:rsidRPr="00D84134">
        <w:rPr>
          <w:rFonts w:cs="Arial"/>
        </w:rPr>
        <w:t xml:space="preserve">, and that </w:t>
      </w:r>
      <w:r w:rsidR="005352B6" w:rsidRPr="00D84134">
        <w:rPr>
          <w:rFonts w:cs="Arial"/>
        </w:rPr>
        <w:t xml:space="preserve">can be addressed </w:t>
      </w:r>
      <w:r w:rsidRPr="00D84134">
        <w:rPr>
          <w:rFonts w:cs="Arial"/>
        </w:rPr>
        <w:t xml:space="preserve">effectively </w:t>
      </w:r>
      <w:r w:rsidR="005352B6" w:rsidRPr="00D84134">
        <w:rPr>
          <w:rFonts w:cs="Arial"/>
        </w:rPr>
        <w:t>through the charity’s internal procedures.</w:t>
      </w:r>
    </w:p>
    <w:p w14:paraId="1CA56031" w14:textId="77777777" w:rsidR="00D84134" w:rsidRPr="00D84134" w:rsidRDefault="00D84134" w:rsidP="00D84134">
      <w:pPr>
        <w:spacing w:before="0"/>
        <w:rPr>
          <w:rFonts w:cs="Arial"/>
        </w:rPr>
      </w:pPr>
    </w:p>
    <w:p w14:paraId="2936308C" w14:textId="5D04CFD1" w:rsidR="005352B6" w:rsidRPr="00D84134" w:rsidRDefault="005352B6" w:rsidP="00D84134">
      <w:pPr>
        <w:spacing w:before="0"/>
        <w:rPr>
          <w:rFonts w:cs="Arial"/>
        </w:rPr>
      </w:pPr>
      <w:r w:rsidRPr="00D84134">
        <w:rPr>
          <w:rFonts w:cs="Arial"/>
        </w:rPr>
        <w:t xml:space="preserve">However, </w:t>
      </w:r>
      <w:r w:rsidR="005C1FFB" w:rsidRPr="00D84134">
        <w:rPr>
          <w:rFonts w:cs="Arial"/>
        </w:rPr>
        <w:t>it also recognises that organisations can sometimes abuse their power, and that individual workers should and do have the legal right to take their concerns outside the organisation, without fear of victimisation, when acting within the framework set out in this Policy.</w:t>
      </w:r>
    </w:p>
    <w:p w14:paraId="31D3103E" w14:textId="77777777" w:rsidR="00D84134" w:rsidRPr="00D84134" w:rsidRDefault="00D84134" w:rsidP="00D84134">
      <w:pPr>
        <w:pStyle w:val="Heading4"/>
        <w:spacing w:before="0"/>
        <w:rPr>
          <w:rFonts w:cs="Arial"/>
        </w:rPr>
      </w:pPr>
    </w:p>
    <w:p w14:paraId="1EF1345E" w14:textId="19F49F17" w:rsidR="005C1FFB" w:rsidRPr="00D84134" w:rsidRDefault="00D84134" w:rsidP="00D84134">
      <w:pPr>
        <w:pStyle w:val="Heading4"/>
        <w:spacing w:before="0"/>
        <w:rPr>
          <w:rFonts w:cs="Arial"/>
        </w:rPr>
      </w:pPr>
      <w:r>
        <w:rPr>
          <w:rFonts w:cs="Arial"/>
        </w:rPr>
        <w:t>Scope of the p</w:t>
      </w:r>
      <w:r w:rsidR="005C1FFB" w:rsidRPr="00D84134">
        <w:rPr>
          <w:rFonts w:cs="Arial"/>
        </w:rPr>
        <w:t>olicy</w:t>
      </w:r>
    </w:p>
    <w:p w14:paraId="2672B4E5" w14:textId="111711DF" w:rsidR="005C1FFB" w:rsidRPr="00D84134" w:rsidRDefault="005A4B1E" w:rsidP="00D84134">
      <w:pPr>
        <w:spacing w:before="0"/>
        <w:rPr>
          <w:rFonts w:cs="Arial"/>
        </w:rPr>
      </w:pPr>
      <w:r w:rsidRPr="00D84134">
        <w:rPr>
          <w:rFonts w:cs="Arial"/>
          <w:highlight w:val="yellow"/>
        </w:rPr>
        <w:t>ANYORG</w:t>
      </w:r>
      <w:r w:rsidR="005C1FFB" w:rsidRPr="00D84134">
        <w:rPr>
          <w:rFonts w:cs="Arial"/>
        </w:rPr>
        <w:t xml:space="preserve"> staff, secondees, volunt</w:t>
      </w:r>
      <w:r w:rsidR="005805F2" w:rsidRPr="00D84134">
        <w:rPr>
          <w:rFonts w:cs="Arial"/>
        </w:rPr>
        <w:t xml:space="preserve">eers and free-lance contractors </w:t>
      </w:r>
      <w:r w:rsidR="005C1FFB" w:rsidRPr="00D84134">
        <w:rPr>
          <w:rFonts w:cs="Arial"/>
        </w:rPr>
        <w:t xml:space="preserve">are </w:t>
      </w:r>
      <w:r w:rsidR="005805F2" w:rsidRPr="00D84134">
        <w:rPr>
          <w:rFonts w:cs="Arial"/>
        </w:rPr>
        <w:t xml:space="preserve">all </w:t>
      </w:r>
      <w:r w:rsidR="005C1FFB" w:rsidRPr="00D84134">
        <w:rPr>
          <w:rFonts w:cs="Arial"/>
        </w:rPr>
        <w:t xml:space="preserve">protected from </w:t>
      </w:r>
      <w:r w:rsidR="00C548CA" w:rsidRPr="00D84134">
        <w:rPr>
          <w:rFonts w:cs="Arial"/>
        </w:rPr>
        <w:t>disciplinary action or other penalty</w:t>
      </w:r>
      <w:r w:rsidR="005C1FFB" w:rsidRPr="00D84134">
        <w:rPr>
          <w:rFonts w:cs="Arial"/>
        </w:rPr>
        <w:t xml:space="preserve"> for breach of confidentiality</w:t>
      </w:r>
      <w:r w:rsidR="00C548CA" w:rsidRPr="00D84134">
        <w:rPr>
          <w:rFonts w:cs="Arial"/>
        </w:rPr>
        <w:t xml:space="preserve">, provided they </w:t>
      </w:r>
      <w:r w:rsidR="005805F2" w:rsidRPr="00D84134">
        <w:rPr>
          <w:rFonts w:cs="Arial"/>
        </w:rPr>
        <w:t>make</w:t>
      </w:r>
      <w:r w:rsidR="00C548CA" w:rsidRPr="00D84134">
        <w:rPr>
          <w:rFonts w:cs="Arial"/>
        </w:rPr>
        <w:t xml:space="preserve"> a </w:t>
      </w:r>
      <w:r w:rsidR="00C548CA" w:rsidRPr="00D84134">
        <w:rPr>
          <w:rFonts w:cs="Arial"/>
          <w:b/>
        </w:rPr>
        <w:t>protected disclosure</w:t>
      </w:r>
      <w:r w:rsidR="00C548CA" w:rsidRPr="00D84134">
        <w:rPr>
          <w:rFonts w:cs="Arial"/>
        </w:rPr>
        <w:t xml:space="preserve"> </w:t>
      </w:r>
      <w:r w:rsidR="005805F2" w:rsidRPr="00D84134">
        <w:rPr>
          <w:rFonts w:cs="Arial"/>
        </w:rPr>
        <w:t>using</w:t>
      </w:r>
      <w:r w:rsidR="00C548CA" w:rsidRPr="00D84134">
        <w:rPr>
          <w:rFonts w:cs="Arial"/>
        </w:rPr>
        <w:t xml:space="preserve"> a </w:t>
      </w:r>
      <w:r w:rsidR="00C548CA" w:rsidRPr="00D84134">
        <w:rPr>
          <w:rFonts w:cs="Arial"/>
          <w:b/>
        </w:rPr>
        <w:t>protected route</w:t>
      </w:r>
      <w:r w:rsidR="00C548CA" w:rsidRPr="00D84134">
        <w:rPr>
          <w:rFonts w:cs="Arial"/>
        </w:rPr>
        <w:t xml:space="preserve"> (see below).</w:t>
      </w:r>
    </w:p>
    <w:p w14:paraId="7A60DE37" w14:textId="77777777" w:rsidR="00D84134" w:rsidRPr="00D84134" w:rsidRDefault="00D84134" w:rsidP="00D84134">
      <w:pPr>
        <w:pStyle w:val="Heading4"/>
        <w:spacing w:before="0"/>
        <w:rPr>
          <w:rFonts w:cs="Arial"/>
        </w:rPr>
      </w:pPr>
    </w:p>
    <w:p w14:paraId="19927841" w14:textId="7EDA9BD1" w:rsidR="00C548CA" w:rsidRPr="00D84134" w:rsidRDefault="00D84134" w:rsidP="00D84134">
      <w:pPr>
        <w:pStyle w:val="Heading4"/>
        <w:spacing w:before="0"/>
        <w:rPr>
          <w:rFonts w:cs="Arial"/>
        </w:rPr>
      </w:pPr>
      <w:r>
        <w:rPr>
          <w:rFonts w:cs="Arial"/>
        </w:rPr>
        <w:t>Related p</w:t>
      </w:r>
      <w:r w:rsidR="00C548CA" w:rsidRPr="00D84134">
        <w:rPr>
          <w:rFonts w:cs="Arial"/>
        </w:rPr>
        <w:t>olicies</w:t>
      </w:r>
    </w:p>
    <w:p w14:paraId="231C1EE5" w14:textId="77777777" w:rsidR="00C548CA" w:rsidRPr="00D84134" w:rsidRDefault="00C548CA" w:rsidP="00D84134">
      <w:pPr>
        <w:pStyle w:val="ListBullet"/>
        <w:numPr>
          <w:ilvl w:val="0"/>
          <w:numId w:val="18"/>
        </w:numPr>
        <w:rPr>
          <w:rFonts w:cs="Arial"/>
        </w:rPr>
      </w:pPr>
      <w:r w:rsidRPr="00D84134">
        <w:rPr>
          <w:rFonts w:cs="Arial"/>
        </w:rPr>
        <w:t>Confidentiality Policy</w:t>
      </w:r>
    </w:p>
    <w:p w14:paraId="08DA0366" w14:textId="3F3AB97E" w:rsidR="00C548CA" w:rsidRPr="00D84134" w:rsidRDefault="00C548CA" w:rsidP="00D84134">
      <w:pPr>
        <w:pStyle w:val="ListBullet"/>
        <w:numPr>
          <w:ilvl w:val="0"/>
          <w:numId w:val="18"/>
        </w:numPr>
        <w:rPr>
          <w:rFonts w:cs="Arial"/>
        </w:rPr>
      </w:pPr>
      <w:r w:rsidRPr="00D84134">
        <w:rPr>
          <w:rFonts w:cs="Arial"/>
        </w:rPr>
        <w:t>Safeguarding P</w:t>
      </w:r>
      <w:r w:rsidR="00D84134">
        <w:rPr>
          <w:rFonts w:cs="Arial"/>
        </w:rPr>
        <w:t>olicies and Procedures (Adults and</w:t>
      </w:r>
      <w:r w:rsidRPr="00D84134">
        <w:rPr>
          <w:rFonts w:cs="Arial"/>
        </w:rPr>
        <w:t xml:space="preserve"> Children)</w:t>
      </w:r>
    </w:p>
    <w:p w14:paraId="2EC1091E" w14:textId="77777777" w:rsidR="00C548CA" w:rsidRPr="00D84134" w:rsidRDefault="00C548CA" w:rsidP="00D84134">
      <w:pPr>
        <w:pStyle w:val="ListBullet"/>
        <w:numPr>
          <w:ilvl w:val="0"/>
          <w:numId w:val="18"/>
        </w:numPr>
        <w:rPr>
          <w:rFonts w:cs="Arial"/>
        </w:rPr>
      </w:pPr>
      <w:r w:rsidRPr="00D84134">
        <w:rPr>
          <w:rFonts w:cs="Arial"/>
        </w:rPr>
        <w:t>Grievance Procedure (for paid employees)</w:t>
      </w:r>
    </w:p>
    <w:p w14:paraId="3E878C0E" w14:textId="14FDB2F2" w:rsidR="00C548CA" w:rsidRPr="00D84134" w:rsidRDefault="00D84134" w:rsidP="00D84134">
      <w:pPr>
        <w:pStyle w:val="ListBullet"/>
        <w:numPr>
          <w:ilvl w:val="0"/>
          <w:numId w:val="18"/>
        </w:numPr>
        <w:rPr>
          <w:rFonts w:cs="Arial"/>
        </w:rPr>
      </w:pPr>
      <w:r>
        <w:rPr>
          <w:rFonts w:cs="Arial"/>
        </w:rPr>
        <w:t>Complaints Policy and</w:t>
      </w:r>
      <w:r w:rsidR="00C548CA" w:rsidRPr="00D84134">
        <w:rPr>
          <w:rFonts w:cs="Arial"/>
        </w:rPr>
        <w:t xml:space="preserve"> Procedure (for other workers)</w:t>
      </w:r>
    </w:p>
    <w:p w14:paraId="1E04F681" w14:textId="77777777" w:rsidR="00D84134" w:rsidRPr="00D84134" w:rsidRDefault="00D84134" w:rsidP="00D84134">
      <w:pPr>
        <w:pStyle w:val="Heading4"/>
        <w:spacing w:before="0"/>
        <w:rPr>
          <w:rFonts w:cs="Arial"/>
        </w:rPr>
      </w:pPr>
    </w:p>
    <w:p w14:paraId="7114CBDA" w14:textId="5FD2CF95" w:rsidR="00CE5EF0" w:rsidRPr="00D84134" w:rsidRDefault="00D84134" w:rsidP="00D84134">
      <w:pPr>
        <w:pStyle w:val="Heading4"/>
        <w:spacing w:before="0"/>
        <w:rPr>
          <w:rFonts w:cs="Arial"/>
        </w:rPr>
      </w:pPr>
      <w:r>
        <w:rPr>
          <w:rFonts w:cs="Arial"/>
        </w:rPr>
        <w:t>External g</w:t>
      </w:r>
      <w:r w:rsidR="00CE5EF0" w:rsidRPr="00D84134">
        <w:rPr>
          <w:rFonts w:cs="Arial"/>
        </w:rPr>
        <w:t>uidance</w:t>
      </w:r>
    </w:p>
    <w:p w14:paraId="45DD5112" w14:textId="58A7476E" w:rsidR="00CE5EF0" w:rsidRPr="00D84134" w:rsidRDefault="00CE5EF0" w:rsidP="00D84134">
      <w:pPr>
        <w:spacing w:before="0"/>
        <w:rPr>
          <w:rFonts w:cs="Arial"/>
        </w:rPr>
      </w:pPr>
      <w:r w:rsidRPr="00D84134">
        <w:rPr>
          <w:rFonts w:cs="Arial"/>
        </w:rPr>
        <w:t>Any worker considering a public interest disclosure may wish to seek advice from</w:t>
      </w:r>
      <w:r w:rsidR="00F44913" w:rsidRPr="00D84134">
        <w:rPr>
          <w:rFonts w:cs="Arial"/>
        </w:rPr>
        <w:t xml:space="preserve"> the whistle-blowing support charity </w:t>
      </w:r>
      <w:hyperlink r:id="rId8" w:history="1">
        <w:r w:rsidR="00F44913" w:rsidRPr="00D84134">
          <w:rPr>
            <w:rStyle w:val="Hyperlink"/>
            <w:rFonts w:cs="Arial"/>
            <w:iCs/>
          </w:rPr>
          <w:t>Protect</w:t>
        </w:r>
      </w:hyperlink>
      <w:r w:rsidRPr="00D84134">
        <w:rPr>
          <w:rFonts w:cs="Arial"/>
        </w:rPr>
        <w:t xml:space="preserve"> (</w:t>
      </w:r>
      <w:r w:rsidR="00F44913" w:rsidRPr="00D84134">
        <w:rPr>
          <w:rFonts w:cs="Arial"/>
        </w:rPr>
        <w:t>020 3117 2520</w:t>
      </w:r>
      <w:r w:rsidRPr="00D84134">
        <w:rPr>
          <w:rFonts w:cs="Arial"/>
        </w:rPr>
        <w:t>).</w:t>
      </w:r>
    </w:p>
    <w:p w14:paraId="379D3C97" w14:textId="77777777" w:rsidR="00D84134" w:rsidRPr="00D84134" w:rsidRDefault="00D84134" w:rsidP="00D84134">
      <w:pPr>
        <w:pStyle w:val="Heading4"/>
        <w:spacing w:before="0"/>
        <w:rPr>
          <w:rFonts w:cs="Arial"/>
        </w:rPr>
      </w:pPr>
    </w:p>
    <w:p w14:paraId="567C0883" w14:textId="54BCDBD8" w:rsidR="005C1FFB" w:rsidRPr="00D84134" w:rsidRDefault="00D84134" w:rsidP="00D84134">
      <w:pPr>
        <w:pStyle w:val="Heading4"/>
        <w:spacing w:before="0"/>
        <w:rPr>
          <w:rFonts w:cs="Arial"/>
        </w:rPr>
      </w:pPr>
      <w:r>
        <w:rPr>
          <w:rFonts w:cs="Arial"/>
        </w:rPr>
        <w:t>Protected d</w:t>
      </w:r>
      <w:r w:rsidR="005C1FFB" w:rsidRPr="00D84134">
        <w:rPr>
          <w:rFonts w:cs="Arial"/>
        </w:rPr>
        <w:t>isclosures</w:t>
      </w:r>
    </w:p>
    <w:p w14:paraId="6F5F75C9" w14:textId="77777777" w:rsidR="005C1FFB" w:rsidRPr="00D84134" w:rsidRDefault="00C548CA" w:rsidP="00D84134">
      <w:pPr>
        <w:spacing w:before="0"/>
        <w:rPr>
          <w:rFonts w:cs="Arial"/>
        </w:rPr>
      </w:pPr>
      <w:r w:rsidRPr="00D84134">
        <w:rPr>
          <w:rFonts w:cs="Arial"/>
        </w:rPr>
        <w:t>Disclosures are protected</w:t>
      </w:r>
      <w:r w:rsidR="005C1FFB" w:rsidRPr="00D84134">
        <w:rPr>
          <w:rFonts w:cs="Arial"/>
        </w:rPr>
        <w:t xml:space="preserve"> when </w:t>
      </w:r>
      <w:r w:rsidRPr="00D84134">
        <w:rPr>
          <w:rFonts w:cs="Arial"/>
        </w:rPr>
        <w:t>a worker</w:t>
      </w:r>
      <w:r w:rsidR="005C1FFB" w:rsidRPr="00D84134">
        <w:rPr>
          <w:rFonts w:cs="Arial"/>
        </w:rPr>
        <w:t xml:space="preserve"> reasonably believes that one or more of the acts listed below have happened or are likely to happen:</w:t>
      </w:r>
    </w:p>
    <w:p w14:paraId="3C3684F3" w14:textId="2493DC39" w:rsidR="005C1FFB" w:rsidRPr="00D84134" w:rsidRDefault="00D84134" w:rsidP="00D84134">
      <w:pPr>
        <w:pStyle w:val="ListBullet"/>
        <w:numPr>
          <w:ilvl w:val="0"/>
          <w:numId w:val="19"/>
        </w:numPr>
        <w:rPr>
          <w:rFonts w:cs="Arial"/>
        </w:rPr>
      </w:pPr>
      <w:r>
        <w:rPr>
          <w:rFonts w:cs="Arial"/>
        </w:rPr>
        <w:t>A criminal offence</w:t>
      </w:r>
    </w:p>
    <w:p w14:paraId="12972B88" w14:textId="3FBF6BF3" w:rsidR="005C1FFB" w:rsidRPr="00D84134" w:rsidRDefault="00D84134" w:rsidP="00D84134">
      <w:pPr>
        <w:pStyle w:val="ListBullet"/>
        <w:numPr>
          <w:ilvl w:val="0"/>
          <w:numId w:val="19"/>
        </w:numPr>
        <w:rPr>
          <w:rFonts w:cs="Arial"/>
        </w:rPr>
      </w:pPr>
      <w:r w:rsidRPr="00D84134">
        <w:rPr>
          <w:rFonts w:cs="Arial"/>
        </w:rPr>
        <w:t>Failure to c</w:t>
      </w:r>
      <w:r>
        <w:rPr>
          <w:rFonts w:cs="Arial"/>
        </w:rPr>
        <w:t>omply with any legal obligation</w:t>
      </w:r>
    </w:p>
    <w:p w14:paraId="4C6DBE4C" w14:textId="2B634072" w:rsidR="005C1FFB" w:rsidRPr="00D84134" w:rsidRDefault="00D84134" w:rsidP="00D84134">
      <w:pPr>
        <w:pStyle w:val="ListBullet"/>
        <w:numPr>
          <w:ilvl w:val="0"/>
          <w:numId w:val="19"/>
        </w:numPr>
        <w:rPr>
          <w:rFonts w:cs="Arial"/>
        </w:rPr>
      </w:pPr>
      <w:r>
        <w:rPr>
          <w:rFonts w:cs="Arial"/>
        </w:rPr>
        <w:t>A miscarriage of justice</w:t>
      </w:r>
    </w:p>
    <w:p w14:paraId="292A44CC" w14:textId="3860ABCE" w:rsidR="005C1FFB" w:rsidRPr="00D84134" w:rsidRDefault="00D84134" w:rsidP="00D84134">
      <w:pPr>
        <w:pStyle w:val="ListBullet"/>
        <w:numPr>
          <w:ilvl w:val="0"/>
          <w:numId w:val="19"/>
        </w:numPr>
        <w:rPr>
          <w:rFonts w:cs="Arial"/>
        </w:rPr>
      </w:pPr>
      <w:r w:rsidRPr="00D84134">
        <w:rPr>
          <w:rFonts w:cs="Arial"/>
        </w:rPr>
        <w:t>Danger to a</w:t>
      </w:r>
      <w:r>
        <w:rPr>
          <w:rFonts w:cs="Arial"/>
        </w:rPr>
        <w:t>n individual’s health or safety</w:t>
      </w:r>
    </w:p>
    <w:p w14:paraId="559E221F" w14:textId="264734E6" w:rsidR="005C1FFB" w:rsidRPr="00D84134" w:rsidRDefault="00D84134" w:rsidP="00D84134">
      <w:pPr>
        <w:pStyle w:val="ListBullet"/>
        <w:numPr>
          <w:ilvl w:val="0"/>
          <w:numId w:val="19"/>
        </w:numPr>
        <w:rPr>
          <w:rFonts w:cs="Arial"/>
        </w:rPr>
      </w:pPr>
      <w:r>
        <w:rPr>
          <w:rFonts w:cs="Arial"/>
        </w:rPr>
        <w:t>Damage to the environment,</w:t>
      </w:r>
      <w:r w:rsidRPr="00D84134">
        <w:rPr>
          <w:rFonts w:cs="Arial"/>
        </w:rPr>
        <w:t xml:space="preserve"> or</w:t>
      </w:r>
    </w:p>
    <w:p w14:paraId="2E8FDB33" w14:textId="60E6FBB0" w:rsidR="005C1FFB" w:rsidRPr="00D84134" w:rsidRDefault="00D84134" w:rsidP="00D84134">
      <w:pPr>
        <w:pStyle w:val="ListBullet"/>
        <w:numPr>
          <w:ilvl w:val="0"/>
          <w:numId w:val="19"/>
        </w:numPr>
        <w:rPr>
          <w:rFonts w:cs="Arial"/>
        </w:rPr>
      </w:pPr>
      <w:r w:rsidRPr="00D84134">
        <w:rPr>
          <w:rFonts w:cs="Arial"/>
        </w:rPr>
        <w:t>Delib</w:t>
      </w:r>
      <w:r w:rsidR="005C1FFB" w:rsidRPr="00D84134">
        <w:rPr>
          <w:rFonts w:cs="Arial"/>
        </w:rPr>
        <w:t>erate concealment of informati</w:t>
      </w:r>
      <w:r>
        <w:rPr>
          <w:rFonts w:cs="Arial"/>
        </w:rPr>
        <w:t>on tending to show any of these</w:t>
      </w:r>
    </w:p>
    <w:p w14:paraId="7964DE61" w14:textId="77777777" w:rsidR="00D84134" w:rsidRPr="00D84134" w:rsidRDefault="00D84134" w:rsidP="00D84134">
      <w:pPr>
        <w:pStyle w:val="Heading4"/>
        <w:spacing w:before="0"/>
        <w:rPr>
          <w:rFonts w:cs="Arial"/>
        </w:rPr>
      </w:pPr>
    </w:p>
    <w:p w14:paraId="5FD9087F" w14:textId="56CA2B03" w:rsidR="005C1FFB" w:rsidRPr="00D84134" w:rsidRDefault="00D84134" w:rsidP="00D84134">
      <w:pPr>
        <w:pStyle w:val="Heading4"/>
        <w:spacing w:before="0"/>
        <w:rPr>
          <w:rFonts w:cs="Arial"/>
        </w:rPr>
      </w:pPr>
      <w:r>
        <w:rPr>
          <w:rFonts w:cs="Arial"/>
        </w:rPr>
        <w:t>Protected r</w:t>
      </w:r>
      <w:r w:rsidR="005C1FFB" w:rsidRPr="00D84134">
        <w:rPr>
          <w:rFonts w:cs="Arial"/>
        </w:rPr>
        <w:t>outes</w:t>
      </w:r>
    </w:p>
    <w:p w14:paraId="2427C93A" w14:textId="77777777" w:rsidR="00C548CA" w:rsidRPr="00D84134" w:rsidRDefault="00C548CA" w:rsidP="00D84134">
      <w:pPr>
        <w:spacing w:before="0"/>
        <w:rPr>
          <w:rFonts w:cs="Arial"/>
        </w:rPr>
      </w:pPr>
      <w:r w:rsidRPr="00D84134">
        <w:rPr>
          <w:rFonts w:cs="Arial"/>
        </w:rPr>
        <w:t>Disclosures are protected if they are made using only one or more of the protected routes set out below:</w:t>
      </w:r>
    </w:p>
    <w:p w14:paraId="255F8ECA" w14:textId="26F05F64" w:rsidR="00C548CA" w:rsidRPr="00D84134" w:rsidRDefault="005A4B1E" w:rsidP="00D84134">
      <w:pPr>
        <w:pStyle w:val="ListBullet"/>
        <w:rPr>
          <w:rFonts w:cs="Arial"/>
        </w:rPr>
      </w:pPr>
      <w:r w:rsidRPr="00D84134">
        <w:rPr>
          <w:rFonts w:cs="Arial"/>
          <w:highlight w:val="yellow"/>
        </w:rPr>
        <w:t>ANYORG</w:t>
      </w:r>
      <w:r w:rsidR="00C548CA" w:rsidRPr="00D84134">
        <w:rPr>
          <w:rFonts w:cs="Arial"/>
          <w:highlight w:val="yellow"/>
        </w:rPr>
        <w:t>’s</w:t>
      </w:r>
      <w:r w:rsidR="00C548CA" w:rsidRPr="00D84134">
        <w:rPr>
          <w:rFonts w:cs="Arial"/>
        </w:rPr>
        <w:t xml:space="preserve"> internal procedu</w:t>
      </w:r>
      <w:r w:rsidR="00D84134">
        <w:rPr>
          <w:rFonts w:cs="Arial"/>
        </w:rPr>
        <w:t>res (see below for more detail)</w:t>
      </w:r>
    </w:p>
    <w:p w14:paraId="5DF59141" w14:textId="143699D6" w:rsidR="00C548CA" w:rsidRPr="00D84134" w:rsidRDefault="00D84134" w:rsidP="00D84134">
      <w:pPr>
        <w:pStyle w:val="ListBullet"/>
        <w:rPr>
          <w:rFonts w:cs="Arial"/>
        </w:rPr>
      </w:pPr>
      <w:r w:rsidRPr="00D84134">
        <w:rPr>
          <w:rFonts w:cs="Arial"/>
        </w:rPr>
        <w:t xml:space="preserve">Someone else </w:t>
      </w:r>
      <w:r w:rsidR="00C548CA" w:rsidRPr="00D84134">
        <w:rPr>
          <w:rFonts w:cs="Arial"/>
        </w:rPr>
        <w:t>that the worker believes in good faith to have a legal responsibi</w:t>
      </w:r>
      <w:r>
        <w:rPr>
          <w:rFonts w:cs="Arial"/>
        </w:rPr>
        <w:t>lity for the matter in question</w:t>
      </w:r>
    </w:p>
    <w:p w14:paraId="30D25B75" w14:textId="74362A57" w:rsidR="00891990" w:rsidRPr="00D84134" w:rsidRDefault="00D84134" w:rsidP="00D84134">
      <w:pPr>
        <w:pStyle w:val="ListBullet"/>
        <w:rPr>
          <w:rFonts w:cs="Arial"/>
        </w:rPr>
      </w:pPr>
      <w:r w:rsidRPr="00D84134">
        <w:rPr>
          <w:rFonts w:cs="Arial"/>
        </w:rPr>
        <w:t xml:space="preserve">A </w:t>
      </w:r>
      <w:r w:rsidR="00C548CA" w:rsidRPr="00D84134">
        <w:rPr>
          <w:rFonts w:cs="Arial"/>
          <w:b/>
        </w:rPr>
        <w:t>prescribed person</w:t>
      </w:r>
      <w:r w:rsidR="00891990" w:rsidRPr="00D84134">
        <w:rPr>
          <w:rFonts w:cs="Arial"/>
        </w:rPr>
        <w:t xml:space="preserve"> under </w:t>
      </w:r>
      <w:hyperlink r:id="rId9" w:history="1">
        <w:r w:rsidR="00891990" w:rsidRPr="00D84134">
          <w:rPr>
            <w:rStyle w:val="Hyperlink"/>
            <w:rFonts w:cs="Arial"/>
          </w:rPr>
          <w:t>the Public Interest Disclosure (Prescribed Persons) Order 1999</w:t>
        </w:r>
      </w:hyperlink>
      <w:r w:rsidR="00891990" w:rsidRPr="00D84134">
        <w:rPr>
          <w:rFonts w:cs="Arial"/>
        </w:rPr>
        <w:t xml:space="preserve"> (this list includes the Charity Commission, the Data Protection Registrar, the Environment Agency, the H</w:t>
      </w:r>
      <w:r>
        <w:rPr>
          <w:rFonts w:cs="Arial"/>
        </w:rPr>
        <w:t>ealth and Safety Executive, HMRC)</w:t>
      </w:r>
    </w:p>
    <w:p w14:paraId="0F3AD995" w14:textId="77777777" w:rsidR="00D84134" w:rsidRPr="00D84134" w:rsidRDefault="00D84134" w:rsidP="00D84134">
      <w:pPr>
        <w:spacing w:before="0"/>
        <w:rPr>
          <w:rFonts w:cs="Arial"/>
        </w:rPr>
      </w:pPr>
    </w:p>
    <w:p w14:paraId="110B601D" w14:textId="6C2E6199" w:rsidR="00891990" w:rsidRPr="00D84134" w:rsidRDefault="005805F2" w:rsidP="00D84134">
      <w:pPr>
        <w:spacing w:before="0"/>
        <w:rPr>
          <w:rFonts w:cs="Arial"/>
        </w:rPr>
      </w:pPr>
      <w:r w:rsidRPr="00D84134">
        <w:rPr>
          <w:rFonts w:cs="Arial"/>
        </w:rPr>
        <w:t>O</w:t>
      </w:r>
      <w:r w:rsidR="00891990" w:rsidRPr="00D84134">
        <w:rPr>
          <w:rFonts w:cs="Arial"/>
        </w:rPr>
        <w:t>ther disclosure</w:t>
      </w:r>
      <w:r w:rsidRPr="00D84134">
        <w:rPr>
          <w:rFonts w:cs="Arial"/>
        </w:rPr>
        <w:t>s (</w:t>
      </w:r>
      <w:r w:rsidR="00D84134" w:rsidRPr="00D84134">
        <w:rPr>
          <w:rFonts w:cs="Arial"/>
        </w:rPr>
        <w:t>e.g.</w:t>
      </w:r>
      <w:r w:rsidRPr="00D84134">
        <w:rPr>
          <w:rFonts w:cs="Arial"/>
        </w:rPr>
        <w:t xml:space="preserve"> to an MP or the media) are</w:t>
      </w:r>
      <w:r w:rsidR="00891990" w:rsidRPr="00D84134">
        <w:rPr>
          <w:rFonts w:cs="Arial"/>
        </w:rPr>
        <w:t xml:space="preserve"> only protected if the worker:</w:t>
      </w:r>
    </w:p>
    <w:p w14:paraId="7C72EC62" w14:textId="2C5703E7" w:rsidR="00891990" w:rsidRPr="00D84134" w:rsidRDefault="00D84134" w:rsidP="00D84134">
      <w:pPr>
        <w:pStyle w:val="ListBullet"/>
        <w:numPr>
          <w:ilvl w:val="0"/>
          <w:numId w:val="20"/>
        </w:numPr>
        <w:rPr>
          <w:rFonts w:cs="Arial"/>
        </w:rPr>
      </w:pPr>
      <w:r w:rsidRPr="00D84134">
        <w:rPr>
          <w:rFonts w:cs="Arial"/>
        </w:rPr>
        <w:t>Makes the disclosure in good faith</w:t>
      </w:r>
      <w:r>
        <w:rPr>
          <w:rFonts w:cs="Arial"/>
        </w:rPr>
        <w:t>,</w:t>
      </w:r>
      <w:r w:rsidR="00891990" w:rsidRPr="00D84134">
        <w:rPr>
          <w:rFonts w:cs="Arial"/>
        </w:rPr>
        <w:t xml:space="preserve"> and</w:t>
      </w:r>
    </w:p>
    <w:p w14:paraId="5FE3601D" w14:textId="4FAEF043" w:rsidR="00891990" w:rsidRPr="00D84134" w:rsidRDefault="00D84134" w:rsidP="00D84134">
      <w:pPr>
        <w:pStyle w:val="ListBullet"/>
        <w:numPr>
          <w:ilvl w:val="0"/>
          <w:numId w:val="20"/>
        </w:numPr>
        <w:rPr>
          <w:rFonts w:cs="Arial"/>
        </w:rPr>
      </w:pPr>
      <w:r w:rsidRPr="00D84134">
        <w:rPr>
          <w:rFonts w:cs="Arial"/>
        </w:rPr>
        <w:t>Reasonably believes the information disclosed is substantially true; and</w:t>
      </w:r>
    </w:p>
    <w:p w14:paraId="30EB23C2" w14:textId="74346EC5" w:rsidR="00891990" w:rsidRPr="00D84134" w:rsidRDefault="00D84134" w:rsidP="00D84134">
      <w:pPr>
        <w:pStyle w:val="ListBullet"/>
        <w:numPr>
          <w:ilvl w:val="0"/>
          <w:numId w:val="20"/>
        </w:numPr>
        <w:rPr>
          <w:rFonts w:cs="Arial"/>
        </w:rPr>
      </w:pPr>
      <w:r w:rsidRPr="00D84134">
        <w:rPr>
          <w:rFonts w:cs="Arial"/>
        </w:rPr>
        <w:t>Does not make t</w:t>
      </w:r>
      <w:r>
        <w:rPr>
          <w:rFonts w:cs="Arial"/>
        </w:rPr>
        <w:t>he disclosure for personal gain,</w:t>
      </w:r>
      <w:r w:rsidRPr="00D84134">
        <w:rPr>
          <w:rFonts w:cs="Arial"/>
        </w:rPr>
        <w:t xml:space="preserve"> and</w:t>
      </w:r>
    </w:p>
    <w:p w14:paraId="47C7A08B" w14:textId="307630E2" w:rsidR="00891990" w:rsidRPr="00D84134" w:rsidRDefault="00D84134" w:rsidP="00D84134">
      <w:pPr>
        <w:pStyle w:val="ListBullet"/>
        <w:numPr>
          <w:ilvl w:val="0"/>
          <w:numId w:val="20"/>
        </w:numPr>
        <w:rPr>
          <w:rFonts w:cs="Arial"/>
        </w:rPr>
      </w:pPr>
      <w:r w:rsidRPr="00D84134">
        <w:rPr>
          <w:rFonts w:cs="Arial"/>
        </w:rPr>
        <w:t>Is acting reasonably in all the circumstances</w:t>
      </w:r>
      <w:r>
        <w:rPr>
          <w:rFonts w:cs="Arial"/>
        </w:rPr>
        <w:t>,</w:t>
      </w:r>
      <w:r w:rsidR="00631289" w:rsidRPr="00D84134">
        <w:rPr>
          <w:rFonts w:cs="Arial"/>
        </w:rPr>
        <w:t xml:space="preserve"> and</w:t>
      </w:r>
    </w:p>
    <w:p w14:paraId="5066D0E2" w14:textId="55CE18B7" w:rsidR="00631289" w:rsidRPr="00D84134" w:rsidRDefault="00631289" w:rsidP="00D84134">
      <w:pPr>
        <w:pStyle w:val="ListBullet"/>
        <w:numPr>
          <w:ilvl w:val="0"/>
          <w:numId w:val="20"/>
        </w:numPr>
        <w:rPr>
          <w:rFonts w:cs="Arial"/>
        </w:rPr>
      </w:pPr>
      <w:r w:rsidRPr="00D84134">
        <w:rPr>
          <w:rFonts w:cs="Arial"/>
        </w:rPr>
        <w:t xml:space="preserve">EITHER reasonably believes that disclosure to </w:t>
      </w:r>
      <w:r w:rsidR="005A4B1E" w:rsidRPr="00D84134">
        <w:rPr>
          <w:rFonts w:cs="Arial"/>
          <w:highlight w:val="yellow"/>
        </w:rPr>
        <w:t>ANYORG</w:t>
      </w:r>
      <w:r w:rsidRPr="00D84134">
        <w:rPr>
          <w:rFonts w:cs="Arial"/>
        </w:rPr>
        <w:t xml:space="preserve"> will result in victimisation or loss of evidence OR has already tried the protected disclosure routes without</w:t>
      </w:r>
      <w:r w:rsidR="00D84134">
        <w:rPr>
          <w:rFonts w:cs="Arial"/>
        </w:rPr>
        <w:t xml:space="preserve"> appropriate action being taken</w:t>
      </w:r>
    </w:p>
    <w:p w14:paraId="00A49591" w14:textId="77777777" w:rsidR="00D84134" w:rsidRPr="00D84134" w:rsidRDefault="00D84134" w:rsidP="00D84134">
      <w:pPr>
        <w:pStyle w:val="Heading4"/>
        <w:spacing w:before="0"/>
        <w:rPr>
          <w:rFonts w:cs="Arial"/>
        </w:rPr>
      </w:pPr>
    </w:p>
    <w:p w14:paraId="13684685" w14:textId="0B4CD98E" w:rsidR="005C1FFB" w:rsidRPr="00D84134" w:rsidRDefault="00D84134" w:rsidP="00D84134">
      <w:pPr>
        <w:pStyle w:val="Heading4"/>
        <w:spacing w:before="0"/>
        <w:rPr>
          <w:rFonts w:cs="Arial"/>
        </w:rPr>
      </w:pPr>
      <w:r>
        <w:rPr>
          <w:rFonts w:cs="Arial"/>
        </w:rPr>
        <w:t>Recommended p</w:t>
      </w:r>
      <w:r w:rsidR="00631289" w:rsidRPr="00D84134">
        <w:rPr>
          <w:rFonts w:cs="Arial"/>
        </w:rPr>
        <w:t>rocedure</w:t>
      </w:r>
    </w:p>
    <w:p w14:paraId="22661CAF" w14:textId="6984DCD3" w:rsidR="00631289" w:rsidRPr="00D84134" w:rsidRDefault="005A4B1E" w:rsidP="00D84134">
      <w:pPr>
        <w:spacing w:before="0"/>
        <w:rPr>
          <w:rFonts w:cs="Arial"/>
        </w:rPr>
      </w:pPr>
      <w:r w:rsidRPr="00D84134">
        <w:rPr>
          <w:rFonts w:cs="Arial"/>
          <w:highlight w:val="yellow"/>
        </w:rPr>
        <w:t>ANYORG</w:t>
      </w:r>
      <w:r w:rsidR="00631289" w:rsidRPr="00D84134">
        <w:rPr>
          <w:rFonts w:cs="Arial"/>
        </w:rPr>
        <w:t xml:space="preserve"> recommends that any worker with concerns on a matter of public interest should, in the first instance, use one of its established problem-solving procedures:</w:t>
      </w:r>
    </w:p>
    <w:p w14:paraId="42671A2D" w14:textId="06E4E38D" w:rsidR="00631289" w:rsidRPr="00D84134" w:rsidRDefault="00631289" w:rsidP="00D84134">
      <w:pPr>
        <w:pStyle w:val="ListBullet"/>
        <w:numPr>
          <w:ilvl w:val="0"/>
          <w:numId w:val="21"/>
        </w:numPr>
        <w:rPr>
          <w:rFonts w:cs="Arial"/>
        </w:rPr>
      </w:pPr>
      <w:r w:rsidRPr="00D84134">
        <w:rPr>
          <w:rFonts w:cs="Arial"/>
        </w:rPr>
        <w:t xml:space="preserve">Grievance Procedure </w:t>
      </w:r>
      <w:r w:rsidR="00D84134">
        <w:rPr>
          <w:rFonts w:cs="Arial"/>
        </w:rPr>
        <w:t>(in the case of paid employees)</w:t>
      </w:r>
    </w:p>
    <w:p w14:paraId="0863F775" w14:textId="035374FA" w:rsidR="00631289" w:rsidRPr="00D84134" w:rsidRDefault="00631289" w:rsidP="00D84134">
      <w:pPr>
        <w:pStyle w:val="ListBullet"/>
        <w:numPr>
          <w:ilvl w:val="0"/>
          <w:numId w:val="21"/>
        </w:numPr>
        <w:rPr>
          <w:rFonts w:cs="Arial"/>
        </w:rPr>
      </w:pPr>
      <w:r w:rsidRPr="00D84134">
        <w:rPr>
          <w:rFonts w:cs="Arial"/>
        </w:rPr>
        <w:t>Complaints Procedure (in the case o</w:t>
      </w:r>
      <w:r w:rsidR="00D84134">
        <w:rPr>
          <w:rFonts w:cs="Arial"/>
        </w:rPr>
        <w:t>f volunteers and other workers)</w:t>
      </w:r>
    </w:p>
    <w:p w14:paraId="4604DD1C" w14:textId="77777777" w:rsidR="00D84134" w:rsidRPr="00D84134" w:rsidRDefault="00D84134" w:rsidP="00D84134">
      <w:pPr>
        <w:spacing w:before="0"/>
        <w:rPr>
          <w:rFonts w:cs="Arial"/>
        </w:rPr>
      </w:pPr>
    </w:p>
    <w:p w14:paraId="7E190570" w14:textId="2BC270E2" w:rsidR="00631289" w:rsidRPr="00D84134" w:rsidRDefault="00631289" w:rsidP="00D84134">
      <w:pPr>
        <w:spacing w:before="0"/>
        <w:rPr>
          <w:rFonts w:cs="Arial"/>
        </w:rPr>
      </w:pPr>
      <w:r w:rsidRPr="00D84134">
        <w:rPr>
          <w:rFonts w:cs="Arial"/>
        </w:rPr>
        <w:t xml:space="preserve">If the worker reasonably believes that </w:t>
      </w:r>
      <w:r w:rsidR="00050C83" w:rsidRPr="00D84134">
        <w:rPr>
          <w:rFonts w:cs="Arial"/>
        </w:rPr>
        <w:t xml:space="preserve">lower stages of </w:t>
      </w:r>
      <w:r w:rsidRPr="00D84134">
        <w:rPr>
          <w:rFonts w:cs="Arial"/>
        </w:rPr>
        <w:t xml:space="preserve">these procedures are not appropriate, they may by-pass </w:t>
      </w:r>
      <w:r w:rsidR="00050C83" w:rsidRPr="00D84134">
        <w:rPr>
          <w:rFonts w:cs="Arial"/>
        </w:rPr>
        <w:t>these and write directly to the Chair</w:t>
      </w:r>
      <w:r w:rsidR="00D84134">
        <w:rPr>
          <w:rFonts w:cs="Arial"/>
        </w:rPr>
        <w:t>, marking their letter PRIVATE and</w:t>
      </w:r>
      <w:r w:rsidR="00050C83" w:rsidRPr="00D84134">
        <w:rPr>
          <w:rFonts w:cs="Arial"/>
        </w:rPr>
        <w:t xml:space="preserve"> CONFIDENTIAL.</w:t>
      </w:r>
    </w:p>
    <w:p w14:paraId="02451888" w14:textId="77777777" w:rsidR="00D84134" w:rsidRPr="00D84134" w:rsidRDefault="00D84134" w:rsidP="00D84134">
      <w:pPr>
        <w:spacing w:before="0"/>
        <w:rPr>
          <w:rFonts w:cs="Arial"/>
        </w:rPr>
      </w:pPr>
    </w:p>
    <w:p w14:paraId="20F293E6" w14:textId="4C7FE3EA" w:rsidR="00345983" w:rsidRPr="00D84134" w:rsidRDefault="00345983" w:rsidP="00D84134">
      <w:pPr>
        <w:spacing w:before="0"/>
        <w:rPr>
          <w:rFonts w:cs="Arial"/>
        </w:rPr>
      </w:pPr>
      <w:r w:rsidRPr="00D84134">
        <w:rPr>
          <w:rFonts w:cs="Arial"/>
        </w:rPr>
        <w:t>We will protect the identity of the complainant insofar as it is possible to do so whilst carrying out a meaningful investigation, and we would expect the complainant to collaborate in any such investigation</w:t>
      </w:r>
      <w:r w:rsidR="005805F2" w:rsidRPr="00D84134">
        <w:rPr>
          <w:rFonts w:cs="Arial"/>
        </w:rPr>
        <w:t>. We will treat anonymous allegations as carrying less credibility, although we may still opt to investigate at our own discretion.</w:t>
      </w:r>
      <w:r w:rsidRPr="00D84134">
        <w:rPr>
          <w:rFonts w:cs="Arial"/>
        </w:rPr>
        <w:t xml:space="preserve"> </w:t>
      </w:r>
    </w:p>
    <w:p w14:paraId="61576D29" w14:textId="77777777" w:rsidR="00D84134" w:rsidRPr="00D84134" w:rsidRDefault="00D84134" w:rsidP="00D84134">
      <w:pPr>
        <w:spacing w:before="0"/>
        <w:rPr>
          <w:rFonts w:cs="Arial"/>
        </w:rPr>
      </w:pPr>
    </w:p>
    <w:p w14:paraId="15209BED" w14:textId="2DCF12F4" w:rsidR="00CE5EF0" w:rsidRPr="00D84134" w:rsidRDefault="00CE5EF0" w:rsidP="00D84134">
      <w:pPr>
        <w:spacing w:before="0"/>
        <w:rPr>
          <w:rFonts w:cs="Arial"/>
        </w:rPr>
      </w:pPr>
      <w:r w:rsidRPr="00D84134">
        <w:rPr>
          <w:rFonts w:cs="Arial"/>
        </w:rPr>
        <w:t>We recognise that if a complainant is dissatisfied with the outcome of any internal investigation, they are entitled to use another protected route.</w:t>
      </w:r>
    </w:p>
    <w:p w14:paraId="7C16E27E" w14:textId="77777777" w:rsidR="00D84134" w:rsidRPr="00D84134" w:rsidRDefault="00D84134" w:rsidP="00D84134">
      <w:pPr>
        <w:spacing w:before="0"/>
        <w:rPr>
          <w:rFonts w:cs="Arial"/>
        </w:rPr>
      </w:pPr>
    </w:p>
    <w:p w14:paraId="1F0A7D82" w14:textId="54966BE1" w:rsidR="00050C83" w:rsidRPr="00D84134" w:rsidRDefault="00D84134" w:rsidP="00D84134">
      <w:pPr>
        <w:pStyle w:val="Heading4"/>
        <w:spacing w:before="0"/>
        <w:rPr>
          <w:rFonts w:cs="Arial"/>
        </w:rPr>
      </w:pPr>
      <w:r>
        <w:rPr>
          <w:rFonts w:cs="Arial"/>
        </w:rPr>
        <w:t>Disciplinary i</w:t>
      </w:r>
      <w:r w:rsidR="00050C83" w:rsidRPr="00D84134">
        <w:rPr>
          <w:rFonts w:cs="Arial"/>
        </w:rPr>
        <w:t>ssues</w:t>
      </w:r>
    </w:p>
    <w:p w14:paraId="707DB6B8" w14:textId="5F7BA914" w:rsidR="00050C83" w:rsidRPr="00D84134" w:rsidRDefault="005A4B1E" w:rsidP="00D84134">
      <w:pPr>
        <w:spacing w:before="0"/>
        <w:rPr>
          <w:rFonts w:cs="Arial"/>
        </w:rPr>
      </w:pPr>
      <w:r w:rsidRPr="00D84134">
        <w:rPr>
          <w:rFonts w:cs="Arial"/>
          <w:highlight w:val="yellow"/>
        </w:rPr>
        <w:t>ANYORG</w:t>
      </w:r>
      <w:r w:rsidR="00050C83" w:rsidRPr="00D84134">
        <w:rPr>
          <w:rFonts w:cs="Arial"/>
        </w:rPr>
        <w:t xml:space="preserve"> </w:t>
      </w:r>
      <w:r w:rsidR="00E14D9D" w:rsidRPr="00D84134">
        <w:rPr>
          <w:rFonts w:cs="Arial"/>
        </w:rPr>
        <w:t xml:space="preserve">will support and protect any worker raising legitimate concerns through </w:t>
      </w:r>
      <w:r w:rsidR="00050C83" w:rsidRPr="00D84134">
        <w:rPr>
          <w:rFonts w:cs="Arial"/>
        </w:rPr>
        <w:t xml:space="preserve">legitimate </w:t>
      </w:r>
      <w:r w:rsidR="00E14D9D" w:rsidRPr="00D84134">
        <w:rPr>
          <w:rFonts w:cs="Arial"/>
        </w:rPr>
        <w:t>routes as set out above.</w:t>
      </w:r>
    </w:p>
    <w:p w14:paraId="26124F57" w14:textId="77777777" w:rsidR="00D84134" w:rsidRPr="00D84134" w:rsidRDefault="00D84134" w:rsidP="00D84134">
      <w:pPr>
        <w:spacing w:before="0"/>
        <w:rPr>
          <w:rFonts w:cs="Arial"/>
        </w:rPr>
      </w:pPr>
    </w:p>
    <w:p w14:paraId="21D7B086" w14:textId="46E4DEDF" w:rsidR="00E14D9D" w:rsidRPr="00D84134" w:rsidRDefault="00E14D9D" w:rsidP="00D84134">
      <w:pPr>
        <w:spacing w:before="0"/>
        <w:rPr>
          <w:rFonts w:cs="Arial"/>
        </w:rPr>
      </w:pPr>
      <w:r w:rsidRPr="00D84134">
        <w:rPr>
          <w:rFonts w:cs="Arial"/>
        </w:rPr>
        <w:t xml:space="preserve">However, in the event of any worker making a breach of confidentiality that is not protected, </w:t>
      </w:r>
      <w:r w:rsidR="005A4B1E" w:rsidRPr="00D84134">
        <w:rPr>
          <w:rFonts w:cs="Arial"/>
          <w:highlight w:val="yellow"/>
        </w:rPr>
        <w:t>ANYORG</w:t>
      </w:r>
      <w:r w:rsidRPr="00D84134">
        <w:rPr>
          <w:rFonts w:cs="Arial"/>
        </w:rPr>
        <w:t xml:space="preserve"> will review all the circumstances (including the impact of the disclosure on service users</w:t>
      </w:r>
      <w:r w:rsidR="005805F2" w:rsidRPr="00D84134">
        <w:rPr>
          <w:rFonts w:cs="Arial"/>
        </w:rPr>
        <w:t>, funders</w:t>
      </w:r>
      <w:r w:rsidRPr="00D84134">
        <w:rPr>
          <w:rFonts w:cs="Arial"/>
        </w:rPr>
        <w:t xml:space="preserve"> and fellow-workers) and may </w:t>
      </w:r>
      <w:r w:rsidRPr="00D84134">
        <w:rPr>
          <w:rFonts w:cs="Arial"/>
        </w:rPr>
        <w:lastRenderedPageBreak/>
        <w:t>consider disciplinary action. Such action will not be taken lightly, and is likely to be reserved for situations where allegations appear to have been made with malicious int</w:t>
      </w:r>
      <w:bookmarkStart w:id="0" w:name="_GoBack"/>
      <w:bookmarkEnd w:id="0"/>
      <w:r w:rsidRPr="00D84134">
        <w:rPr>
          <w:rFonts w:cs="Arial"/>
        </w:rPr>
        <w:t>ent or with reckless disregard for confidentiality or truth.</w:t>
      </w:r>
    </w:p>
    <w:sectPr w:rsidR="00E14D9D" w:rsidRPr="00D84134" w:rsidSect="00E61EA2">
      <w:footerReference w:type="default" r:id="rId10"/>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C65E" w14:textId="77777777" w:rsidR="00D84134" w:rsidRDefault="00D84134" w:rsidP="00666745">
      <w:r>
        <w:separator/>
      </w:r>
    </w:p>
  </w:endnote>
  <w:endnote w:type="continuationSeparator" w:id="0">
    <w:p w14:paraId="3163BD07" w14:textId="77777777" w:rsidR="00D84134" w:rsidRDefault="00D84134" w:rsidP="006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D23" w14:textId="47623655" w:rsidR="00D84134" w:rsidRDefault="00D84134" w:rsidP="00666745">
    <w:pPr>
      <w:pStyle w:val="Footer"/>
    </w:pPr>
    <w:r>
      <w:rPr>
        <w:snapToGrid w:val="0"/>
      </w:rPr>
      <w:tab/>
    </w:r>
    <w:r>
      <w:rPr>
        <w:snapToGrid w:val="0"/>
      </w:rPr>
      <w:tab/>
    </w:r>
    <w:r>
      <w:rPr>
        <w:rStyle w:val="PageNumber"/>
      </w:rPr>
      <w:fldChar w:fldCharType="begin"/>
    </w:r>
    <w:r>
      <w:rPr>
        <w:rStyle w:val="PageNumber"/>
      </w:rPr>
      <w:instrText xml:space="preserve"> PAGE </w:instrText>
    </w:r>
    <w:r>
      <w:rPr>
        <w:rStyle w:val="PageNumber"/>
      </w:rPr>
      <w:fldChar w:fldCharType="separate"/>
    </w:r>
    <w:r w:rsidR="00C5662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FC18" w14:textId="77777777" w:rsidR="00D84134" w:rsidRDefault="00D84134" w:rsidP="00666745">
      <w:r>
        <w:separator/>
      </w:r>
    </w:p>
  </w:footnote>
  <w:footnote w:type="continuationSeparator" w:id="0">
    <w:p w14:paraId="537E8ADA" w14:textId="77777777" w:rsidR="00D84134" w:rsidRDefault="00D84134" w:rsidP="00666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201BF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90EBEE0"/>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169CCB16"/>
    <w:lvl w:ilvl="0">
      <w:numFmt w:val="decimal"/>
      <w:lvlText w:val="*"/>
      <w:lvlJc w:val="left"/>
    </w:lvl>
  </w:abstractNum>
  <w:abstractNum w:abstractNumId="3" w15:restartNumberingAfterBreak="0">
    <w:nsid w:val="03B44CEB"/>
    <w:multiLevelType w:val="singleLevel"/>
    <w:tmpl w:val="ADE0D692"/>
    <w:lvl w:ilvl="0">
      <w:numFmt w:val="bullet"/>
      <w:lvlText w:val=""/>
      <w:lvlJc w:val="left"/>
      <w:pPr>
        <w:tabs>
          <w:tab w:val="num" w:pos="454"/>
        </w:tabs>
        <w:ind w:left="454" w:hanging="454"/>
      </w:pPr>
      <w:rPr>
        <w:rFonts w:ascii="Wingdings" w:hAnsi="Wingdings" w:hint="default"/>
      </w:rPr>
    </w:lvl>
  </w:abstractNum>
  <w:abstractNum w:abstractNumId="4" w15:restartNumberingAfterBreak="0">
    <w:nsid w:val="09040C3B"/>
    <w:multiLevelType w:val="hybridMultilevel"/>
    <w:tmpl w:val="B928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045A7"/>
    <w:multiLevelType w:val="hybridMultilevel"/>
    <w:tmpl w:val="A3EA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A6271"/>
    <w:multiLevelType w:val="multilevel"/>
    <w:tmpl w:val="9CDE9FFC"/>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B02EB"/>
    <w:multiLevelType w:val="hybridMultilevel"/>
    <w:tmpl w:val="4E1E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874D2"/>
    <w:multiLevelType w:val="singleLevel"/>
    <w:tmpl w:val="7A7E9FE2"/>
    <w:lvl w:ilvl="0">
      <w:start w:val="1"/>
      <w:numFmt w:val="bullet"/>
      <w:pStyle w:val="ListBullet3"/>
      <w:lvlText w:val=""/>
      <w:lvlJc w:val="left"/>
      <w:pPr>
        <w:tabs>
          <w:tab w:val="num" w:pos="360"/>
        </w:tabs>
        <w:ind w:left="360" w:hanging="360"/>
      </w:pPr>
      <w:rPr>
        <w:rFonts w:ascii="Wingdings" w:hAnsi="Wingdings" w:hint="default"/>
      </w:rPr>
    </w:lvl>
  </w:abstractNum>
  <w:abstractNum w:abstractNumId="10" w15:restartNumberingAfterBreak="0">
    <w:nsid w:val="2DC10EF9"/>
    <w:multiLevelType w:val="singleLevel"/>
    <w:tmpl w:val="4282F6E4"/>
    <w:lvl w:ilvl="0">
      <w:start w:val="1"/>
      <w:numFmt w:val="bullet"/>
      <w:pStyle w:val="ListBullet2"/>
      <w:lvlText w:val=""/>
      <w:lvlJc w:val="left"/>
      <w:pPr>
        <w:tabs>
          <w:tab w:val="num" w:pos="360"/>
        </w:tabs>
        <w:ind w:left="360" w:hanging="360"/>
      </w:pPr>
      <w:rPr>
        <w:rFonts w:ascii="Wingdings" w:hAnsi="Wingdings" w:hint="default"/>
      </w:rPr>
    </w:lvl>
  </w:abstractNum>
  <w:abstractNum w:abstractNumId="11" w15:restartNumberingAfterBreak="0">
    <w:nsid w:val="3283159F"/>
    <w:multiLevelType w:val="hybridMultilevel"/>
    <w:tmpl w:val="E6A4DBF0"/>
    <w:lvl w:ilvl="0" w:tplc="71CC084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61041"/>
    <w:multiLevelType w:val="hybridMultilevel"/>
    <w:tmpl w:val="7A7A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B1970"/>
    <w:multiLevelType w:val="singleLevel"/>
    <w:tmpl w:val="AE1E4F1E"/>
    <w:lvl w:ilvl="0">
      <w:start w:val="1"/>
      <w:numFmt w:val="bullet"/>
      <w:pStyle w:val="TableBullet"/>
      <w:lvlText w:val=""/>
      <w:lvlJc w:val="left"/>
      <w:pPr>
        <w:tabs>
          <w:tab w:val="num" w:pos="360"/>
        </w:tabs>
        <w:ind w:left="360" w:hanging="360"/>
      </w:pPr>
      <w:rPr>
        <w:rFonts w:ascii="Symbol" w:hAnsi="Symbol" w:hint="default"/>
      </w:rPr>
    </w:lvl>
  </w:abstractNum>
  <w:abstractNum w:abstractNumId="14" w15:restartNumberingAfterBreak="0">
    <w:nsid w:val="4A4A301A"/>
    <w:multiLevelType w:val="hybridMultilevel"/>
    <w:tmpl w:val="48148500"/>
    <w:lvl w:ilvl="0" w:tplc="51F821EA">
      <w:start w:val="1"/>
      <w:numFmt w:val="lowerLetter"/>
      <w:pStyle w:val="List-MultipleChoice"/>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142F8B"/>
    <w:multiLevelType w:val="hybridMultilevel"/>
    <w:tmpl w:val="238875B4"/>
    <w:lvl w:ilvl="0" w:tplc="BA8AE92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87C29"/>
    <w:multiLevelType w:val="hybridMultilevel"/>
    <w:tmpl w:val="F83CA5BE"/>
    <w:lvl w:ilvl="0" w:tplc="AC6C5D3C">
      <w:start w:val="1"/>
      <w:numFmt w:val="upperLetter"/>
      <w:pStyle w:val="ListNumb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460E5"/>
    <w:multiLevelType w:val="singleLevel"/>
    <w:tmpl w:val="CF601CC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10"/>
  </w:num>
  <w:num w:numId="4">
    <w:abstractNumId w:val="13"/>
  </w:num>
  <w:num w:numId="5">
    <w:abstractNumId w:val="17"/>
  </w:num>
  <w:num w:numId="6">
    <w:abstractNumId w:val="14"/>
  </w:num>
  <w:num w:numId="7">
    <w:abstractNumId w:val="11"/>
  </w:num>
  <w:num w:numId="8">
    <w:abstractNumId w:val="11"/>
  </w:num>
  <w:num w:numId="9">
    <w:abstractNumId w:val="5"/>
  </w:num>
  <w:num w:numId="10">
    <w:abstractNumId w:val="9"/>
  </w:num>
  <w:num w:numId="11">
    <w:abstractNumId w:val="7"/>
  </w:num>
  <w:num w:numId="12">
    <w:abstractNumId w:val="1"/>
  </w:num>
  <w:num w:numId="13">
    <w:abstractNumId w:val="16"/>
  </w:num>
  <w:num w:numId="14">
    <w:abstractNumId w:val="15"/>
  </w:num>
  <w:num w:numId="15">
    <w:abstractNumId w:val="0"/>
  </w:num>
  <w:num w:numId="16">
    <w:abstractNumId w:val="0"/>
  </w:num>
  <w:num w:numId="17">
    <w:abstractNumId w:val="2"/>
    <w:lvlOverride w:ilvl="0">
      <w:lvl w:ilvl="0">
        <w:start w:val="1"/>
        <w:numFmt w:val="bullet"/>
        <w:lvlText w:val=""/>
        <w:legacy w:legacy="1" w:legacySpace="0" w:legacyIndent="360"/>
        <w:lvlJc w:val="left"/>
        <w:rPr>
          <w:rFonts w:ascii="Wingdings" w:hAnsi="Wingdings" w:cs="Wingdings" w:hint="default"/>
        </w:rPr>
      </w:lvl>
    </w:lvlOverride>
  </w:num>
  <w:num w:numId="18">
    <w:abstractNumId w:val="6"/>
  </w:num>
  <w:num w:numId="19">
    <w:abstractNumId w:val="12"/>
  </w:num>
  <w:num w:numId="20">
    <w:abstractNumId w:val="8"/>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26"/>
    <w:rsid w:val="00001759"/>
    <w:rsid w:val="00006E11"/>
    <w:rsid w:val="00017380"/>
    <w:rsid w:val="00030A1A"/>
    <w:rsid w:val="0003535E"/>
    <w:rsid w:val="00035B28"/>
    <w:rsid w:val="00042751"/>
    <w:rsid w:val="00050C5E"/>
    <w:rsid w:val="00050C83"/>
    <w:rsid w:val="00062809"/>
    <w:rsid w:val="00062C65"/>
    <w:rsid w:val="00063958"/>
    <w:rsid w:val="000662E8"/>
    <w:rsid w:val="00066DC0"/>
    <w:rsid w:val="00080B36"/>
    <w:rsid w:val="00095110"/>
    <w:rsid w:val="000A6852"/>
    <w:rsid w:val="000B27C0"/>
    <w:rsid w:val="000B61A0"/>
    <w:rsid w:val="000C7578"/>
    <w:rsid w:val="000D3895"/>
    <w:rsid w:val="000D3B6B"/>
    <w:rsid w:val="000D5AAA"/>
    <w:rsid w:val="000D69C5"/>
    <w:rsid w:val="000E0FA7"/>
    <w:rsid w:val="000F361E"/>
    <w:rsid w:val="001020E6"/>
    <w:rsid w:val="0010351B"/>
    <w:rsid w:val="0011203C"/>
    <w:rsid w:val="00112115"/>
    <w:rsid w:val="001245C2"/>
    <w:rsid w:val="00126ED0"/>
    <w:rsid w:val="0013537B"/>
    <w:rsid w:val="001422DB"/>
    <w:rsid w:val="00155E9F"/>
    <w:rsid w:val="00166243"/>
    <w:rsid w:val="00171A2F"/>
    <w:rsid w:val="00180656"/>
    <w:rsid w:val="00184B23"/>
    <w:rsid w:val="00184F4F"/>
    <w:rsid w:val="001A56B3"/>
    <w:rsid w:val="001A6CA9"/>
    <w:rsid w:val="001B4DDA"/>
    <w:rsid w:val="001B67F9"/>
    <w:rsid w:val="001B74F3"/>
    <w:rsid w:val="001B7B64"/>
    <w:rsid w:val="001C3EA8"/>
    <w:rsid w:val="001D080B"/>
    <w:rsid w:val="001D0D06"/>
    <w:rsid w:val="001D3835"/>
    <w:rsid w:val="001F6B25"/>
    <w:rsid w:val="0020098D"/>
    <w:rsid w:val="002032A4"/>
    <w:rsid w:val="002041EE"/>
    <w:rsid w:val="00205BC1"/>
    <w:rsid w:val="002076FB"/>
    <w:rsid w:val="00210A09"/>
    <w:rsid w:val="00210CD4"/>
    <w:rsid w:val="00212657"/>
    <w:rsid w:val="00227654"/>
    <w:rsid w:val="00227D8C"/>
    <w:rsid w:val="00233A18"/>
    <w:rsid w:val="002346B1"/>
    <w:rsid w:val="00236AC2"/>
    <w:rsid w:val="00237E6F"/>
    <w:rsid w:val="00240585"/>
    <w:rsid w:val="002418B8"/>
    <w:rsid w:val="00247D87"/>
    <w:rsid w:val="002508AE"/>
    <w:rsid w:val="00251502"/>
    <w:rsid w:val="00253129"/>
    <w:rsid w:val="0026150F"/>
    <w:rsid w:val="00265304"/>
    <w:rsid w:val="00267E8B"/>
    <w:rsid w:val="00270AF4"/>
    <w:rsid w:val="0027245C"/>
    <w:rsid w:val="00275182"/>
    <w:rsid w:val="002761E4"/>
    <w:rsid w:val="00276E09"/>
    <w:rsid w:val="00277B2F"/>
    <w:rsid w:val="0028070F"/>
    <w:rsid w:val="0028619C"/>
    <w:rsid w:val="00291BBA"/>
    <w:rsid w:val="00292847"/>
    <w:rsid w:val="002948FB"/>
    <w:rsid w:val="00297759"/>
    <w:rsid w:val="002A183B"/>
    <w:rsid w:val="002A308A"/>
    <w:rsid w:val="002A3885"/>
    <w:rsid w:val="002B1142"/>
    <w:rsid w:val="002C1FEB"/>
    <w:rsid w:val="002C3703"/>
    <w:rsid w:val="002D7B02"/>
    <w:rsid w:val="002F0E34"/>
    <w:rsid w:val="002F18F2"/>
    <w:rsid w:val="002F23D4"/>
    <w:rsid w:val="002F2ED8"/>
    <w:rsid w:val="002F48EF"/>
    <w:rsid w:val="002F7937"/>
    <w:rsid w:val="0030162D"/>
    <w:rsid w:val="00305A9D"/>
    <w:rsid w:val="00313D7C"/>
    <w:rsid w:val="00322BCB"/>
    <w:rsid w:val="003423B0"/>
    <w:rsid w:val="00343EC9"/>
    <w:rsid w:val="00344423"/>
    <w:rsid w:val="00345418"/>
    <w:rsid w:val="00345983"/>
    <w:rsid w:val="003514BF"/>
    <w:rsid w:val="00353628"/>
    <w:rsid w:val="00355255"/>
    <w:rsid w:val="00355E4F"/>
    <w:rsid w:val="00361346"/>
    <w:rsid w:val="00367598"/>
    <w:rsid w:val="0037209B"/>
    <w:rsid w:val="00372DAF"/>
    <w:rsid w:val="003739B2"/>
    <w:rsid w:val="00374CA7"/>
    <w:rsid w:val="003756C6"/>
    <w:rsid w:val="00383911"/>
    <w:rsid w:val="00383BF7"/>
    <w:rsid w:val="0038789D"/>
    <w:rsid w:val="00390611"/>
    <w:rsid w:val="00393502"/>
    <w:rsid w:val="003A0B73"/>
    <w:rsid w:val="003A2D38"/>
    <w:rsid w:val="003A5658"/>
    <w:rsid w:val="003C33FF"/>
    <w:rsid w:val="003D5692"/>
    <w:rsid w:val="003E68C4"/>
    <w:rsid w:val="003F352E"/>
    <w:rsid w:val="003F6B00"/>
    <w:rsid w:val="003F76F9"/>
    <w:rsid w:val="00405545"/>
    <w:rsid w:val="00405B9B"/>
    <w:rsid w:val="004141B5"/>
    <w:rsid w:val="0042099E"/>
    <w:rsid w:val="00420DAA"/>
    <w:rsid w:val="00431EEA"/>
    <w:rsid w:val="00437B5F"/>
    <w:rsid w:val="00452165"/>
    <w:rsid w:val="00452A16"/>
    <w:rsid w:val="00453BCE"/>
    <w:rsid w:val="00453C34"/>
    <w:rsid w:val="00456F27"/>
    <w:rsid w:val="00460E61"/>
    <w:rsid w:val="0046509C"/>
    <w:rsid w:val="00483D37"/>
    <w:rsid w:val="004A2648"/>
    <w:rsid w:val="004B254B"/>
    <w:rsid w:val="004B4D53"/>
    <w:rsid w:val="004C5DB0"/>
    <w:rsid w:val="004D7B4F"/>
    <w:rsid w:val="004E0D1D"/>
    <w:rsid w:val="004E2840"/>
    <w:rsid w:val="004E60BE"/>
    <w:rsid w:val="004E6B31"/>
    <w:rsid w:val="004F17AE"/>
    <w:rsid w:val="004F5852"/>
    <w:rsid w:val="004F7E0F"/>
    <w:rsid w:val="005023F6"/>
    <w:rsid w:val="00507B41"/>
    <w:rsid w:val="00525386"/>
    <w:rsid w:val="00526414"/>
    <w:rsid w:val="00533C51"/>
    <w:rsid w:val="00533DBA"/>
    <w:rsid w:val="005352B6"/>
    <w:rsid w:val="00543B90"/>
    <w:rsid w:val="0054630E"/>
    <w:rsid w:val="00547F40"/>
    <w:rsid w:val="0055245D"/>
    <w:rsid w:val="005567AE"/>
    <w:rsid w:val="00563EE4"/>
    <w:rsid w:val="00567B4F"/>
    <w:rsid w:val="0057776C"/>
    <w:rsid w:val="005805F2"/>
    <w:rsid w:val="00584DEB"/>
    <w:rsid w:val="0058671F"/>
    <w:rsid w:val="00592793"/>
    <w:rsid w:val="00593079"/>
    <w:rsid w:val="005956FC"/>
    <w:rsid w:val="005A00A3"/>
    <w:rsid w:val="005A4B1E"/>
    <w:rsid w:val="005A58B3"/>
    <w:rsid w:val="005A6610"/>
    <w:rsid w:val="005B6343"/>
    <w:rsid w:val="005C1FFB"/>
    <w:rsid w:val="005D4632"/>
    <w:rsid w:val="005E66CE"/>
    <w:rsid w:val="005E7D4E"/>
    <w:rsid w:val="005F36F5"/>
    <w:rsid w:val="00600B88"/>
    <w:rsid w:val="00607EEE"/>
    <w:rsid w:val="00613A29"/>
    <w:rsid w:val="00620C78"/>
    <w:rsid w:val="00623281"/>
    <w:rsid w:val="006253A8"/>
    <w:rsid w:val="00631289"/>
    <w:rsid w:val="0063131B"/>
    <w:rsid w:val="0063157E"/>
    <w:rsid w:val="00631584"/>
    <w:rsid w:val="00631BB1"/>
    <w:rsid w:val="00631CF5"/>
    <w:rsid w:val="00640CA4"/>
    <w:rsid w:val="00642E5C"/>
    <w:rsid w:val="00652B80"/>
    <w:rsid w:val="00660C94"/>
    <w:rsid w:val="00666745"/>
    <w:rsid w:val="00693209"/>
    <w:rsid w:val="006A0EEF"/>
    <w:rsid w:val="006A7E0A"/>
    <w:rsid w:val="006B0062"/>
    <w:rsid w:val="006B711B"/>
    <w:rsid w:val="006C59E1"/>
    <w:rsid w:val="006C63AD"/>
    <w:rsid w:val="006C6A9E"/>
    <w:rsid w:val="006C7EF3"/>
    <w:rsid w:val="006E190F"/>
    <w:rsid w:val="006E79E7"/>
    <w:rsid w:val="006F17B9"/>
    <w:rsid w:val="006F75BA"/>
    <w:rsid w:val="006F769B"/>
    <w:rsid w:val="00705C7D"/>
    <w:rsid w:val="007207A4"/>
    <w:rsid w:val="00720A33"/>
    <w:rsid w:val="00726324"/>
    <w:rsid w:val="00731FEB"/>
    <w:rsid w:val="00733F79"/>
    <w:rsid w:val="0073494A"/>
    <w:rsid w:val="00734F40"/>
    <w:rsid w:val="00753086"/>
    <w:rsid w:val="00757ADE"/>
    <w:rsid w:val="00761CE6"/>
    <w:rsid w:val="007679DB"/>
    <w:rsid w:val="00772D30"/>
    <w:rsid w:val="00773A82"/>
    <w:rsid w:val="00774705"/>
    <w:rsid w:val="007803F2"/>
    <w:rsid w:val="00781858"/>
    <w:rsid w:val="00790A64"/>
    <w:rsid w:val="00791969"/>
    <w:rsid w:val="00797DE7"/>
    <w:rsid w:val="007A2E49"/>
    <w:rsid w:val="007A4B9B"/>
    <w:rsid w:val="007A633E"/>
    <w:rsid w:val="007C0E0C"/>
    <w:rsid w:val="007E70EA"/>
    <w:rsid w:val="007F0FF0"/>
    <w:rsid w:val="007F29CC"/>
    <w:rsid w:val="008107CC"/>
    <w:rsid w:val="008124B9"/>
    <w:rsid w:val="0081476B"/>
    <w:rsid w:val="00820756"/>
    <w:rsid w:val="0082642D"/>
    <w:rsid w:val="00826715"/>
    <w:rsid w:val="00827A45"/>
    <w:rsid w:val="008304D2"/>
    <w:rsid w:val="008330DD"/>
    <w:rsid w:val="008410D1"/>
    <w:rsid w:val="00841546"/>
    <w:rsid w:val="00844B83"/>
    <w:rsid w:val="00852A85"/>
    <w:rsid w:val="00853BC6"/>
    <w:rsid w:val="008562F5"/>
    <w:rsid w:val="00860445"/>
    <w:rsid w:val="00862D68"/>
    <w:rsid w:val="00864CEF"/>
    <w:rsid w:val="00866B3E"/>
    <w:rsid w:val="00870459"/>
    <w:rsid w:val="008719C8"/>
    <w:rsid w:val="00876736"/>
    <w:rsid w:val="00877CAB"/>
    <w:rsid w:val="00880CF9"/>
    <w:rsid w:val="00884E0F"/>
    <w:rsid w:val="008851AD"/>
    <w:rsid w:val="00890150"/>
    <w:rsid w:val="00891990"/>
    <w:rsid w:val="00896A17"/>
    <w:rsid w:val="008A027E"/>
    <w:rsid w:val="008A4CE6"/>
    <w:rsid w:val="008A6673"/>
    <w:rsid w:val="008A7302"/>
    <w:rsid w:val="008C147C"/>
    <w:rsid w:val="008C2BB4"/>
    <w:rsid w:val="008C332B"/>
    <w:rsid w:val="008D0E5E"/>
    <w:rsid w:val="008D1900"/>
    <w:rsid w:val="008D530A"/>
    <w:rsid w:val="008E00B7"/>
    <w:rsid w:val="008F46E3"/>
    <w:rsid w:val="00911E9A"/>
    <w:rsid w:val="00917210"/>
    <w:rsid w:val="00922C47"/>
    <w:rsid w:val="009230FD"/>
    <w:rsid w:val="0092527D"/>
    <w:rsid w:val="00936F54"/>
    <w:rsid w:val="00941B39"/>
    <w:rsid w:val="009476D8"/>
    <w:rsid w:val="009515BB"/>
    <w:rsid w:val="00962212"/>
    <w:rsid w:val="0096370F"/>
    <w:rsid w:val="00966FCD"/>
    <w:rsid w:val="00971B4A"/>
    <w:rsid w:val="00980D0B"/>
    <w:rsid w:val="009879BD"/>
    <w:rsid w:val="00987A5C"/>
    <w:rsid w:val="00991623"/>
    <w:rsid w:val="0099577B"/>
    <w:rsid w:val="009B335A"/>
    <w:rsid w:val="009C18F2"/>
    <w:rsid w:val="009C191C"/>
    <w:rsid w:val="009D2F5B"/>
    <w:rsid w:val="009E2A99"/>
    <w:rsid w:val="009F1D2F"/>
    <w:rsid w:val="009F58EF"/>
    <w:rsid w:val="009F7D85"/>
    <w:rsid w:val="00A03A72"/>
    <w:rsid w:val="00A05A32"/>
    <w:rsid w:val="00A31946"/>
    <w:rsid w:val="00A411B2"/>
    <w:rsid w:val="00A60B22"/>
    <w:rsid w:val="00A84490"/>
    <w:rsid w:val="00A915BA"/>
    <w:rsid w:val="00A977CC"/>
    <w:rsid w:val="00AA19B5"/>
    <w:rsid w:val="00AA5BE4"/>
    <w:rsid w:val="00AB1650"/>
    <w:rsid w:val="00AB3D8D"/>
    <w:rsid w:val="00AB76D2"/>
    <w:rsid w:val="00AC2702"/>
    <w:rsid w:val="00AC392D"/>
    <w:rsid w:val="00AC5D44"/>
    <w:rsid w:val="00AD4626"/>
    <w:rsid w:val="00AE0875"/>
    <w:rsid w:val="00AE125C"/>
    <w:rsid w:val="00AE286B"/>
    <w:rsid w:val="00AE4A2D"/>
    <w:rsid w:val="00AF1B26"/>
    <w:rsid w:val="00AF2A12"/>
    <w:rsid w:val="00B13A68"/>
    <w:rsid w:val="00B14B53"/>
    <w:rsid w:val="00B2148F"/>
    <w:rsid w:val="00B237D4"/>
    <w:rsid w:val="00B304DB"/>
    <w:rsid w:val="00B32167"/>
    <w:rsid w:val="00B36D6B"/>
    <w:rsid w:val="00B36F00"/>
    <w:rsid w:val="00B51CFB"/>
    <w:rsid w:val="00B53765"/>
    <w:rsid w:val="00B60196"/>
    <w:rsid w:val="00B6616D"/>
    <w:rsid w:val="00B72F97"/>
    <w:rsid w:val="00B7537A"/>
    <w:rsid w:val="00B93478"/>
    <w:rsid w:val="00BA0ECF"/>
    <w:rsid w:val="00BA3276"/>
    <w:rsid w:val="00BA4710"/>
    <w:rsid w:val="00BB04C7"/>
    <w:rsid w:val="00BB3B72"/>
    <w:rsid w:val="00BB52C8"/>
    <w:rsid w:val="00BC66EB"/>
    <w:rsid w:val="00BF151B"/>
    <w:rsid w:val="00BF515D"/>
    <w:rsid w:val="00BF5E55"/>
    <w:rsid w:val="00BF6761"/>
    <w:rsid w:val="00C07C16"/>
    <w:rsid w:val="00C1176F"/>
    <w:rsid w:val="00C14D71"/>
    <w:rsid w:val="00C23EE6"/>
    <w:rsid w:val="00C36E4C"/>
    <w:rsid w:val="00C4583C"/>
    <w:rsid w:val="00C5056A"/>
    <w:rsid w:val="00C52CBB"/>
    <w:rsid w:val="00C548CA"/>
    <w:rsid w:val="00C5662E"/>
    <w:rsid w:val="00C57077"/>
    <w:rsid w:val="00C5752E"/>
    <w:rsid w:val="00C57FE4"/>
    <w:rsid w:val="00C8389C"/>
    <w:rsid w:val="00C84C7D"/>
    <w:rsid w:val="00C9205D"/>
    <w:rsid w:val="00C96ACB"/>
    <w:rsid w:val="00CA23FE"/>
    <w:rsid w:val="00CB768B"/>
    <w:rsid w:val="00CB7F75"/>
    <w:rsid w:val="00CC1111"/>
    <w:rsid w:val="00CD398C"/>
    <w:rsid w:val="00CE0C54"/>
    <w:rsid w:val="00CE2656"/>
    <w:rsid w:val="00CE5EF0"/>
    <w:rsid w:val="00CF32C2"/>
    <w:rsid w:val="00CF5701"/>
    <w:rsid w:val="00CF5A8C"/>
    <w:rsid w:val="00D036FF"/>
    <w:rsid w:val="00D224CB"/>
    <w:rsid w:val="00D231D2"/>
    <w:rsid w:val="00D242FD"/>
    <w:rsid w:val="00D3156C"/>
    <w:rsid w:val="00D327CD"/>
    <w:rsid w:val="00D35626"/>
    <w:rsid w:val="00D36B5B"/>
    <w:rsid w:val="00D41489"/>
    <w:rsid w:val="00D5266B"/>
    <w:rsid w:val="00D53C7F"/>
    <w:rsid w:val="00D57358"/>
    <w:rsid w:val="00D57A4E"/>
    <w:rsid w:val="00D62FA2"/>
    <w:rsid w:val="00D64715"/>
    <w:rsid w:val="00D65F62"/>
    <w:rsid w:val="00D673DB"/>
    <w:rsid w:val="00D768B8"/>
    <w:rsid w:val="00D77765"/>
    <w:rsid w:val="00D84134"/>
    <w:rsid w:val="00D851CF"/>
    <w:rsid w:val="00D90AFA"/>
    <w:rsid w:val="00D947AF"/>
    <w:rsid w:val="00DB0725"/>
    <w:rsid w:val="00DB4DD5"/>
    <w:rsid w:val="00DD230E"/>
    <w:rsid w:val="00DD2A3B"/>
    <w:rsid w:val="00DD5BBA"/>
    <w:rsid w:val="00DE20F9"/>
    <w:rsid w:val="00DF23D6"/>
    <w:rsid w:val="00DF246A"/>
    <w:rsid w:val="00DF3593"/>
    <w:rsid w:val="00DF7704"/>
    <w:rsid w:val="00E04198"/>
    <w:rsid w:val="00E05496"/>
    <w:rsid w:val="00E13CAC"/>
    <w:rsid w:val="00E14D9D"/>
    <w:rsid w:val="00E26455"/>
    <w:rsid w:val="00E27DC6"/>
    <w:rsid w:val="00E32E0E"/>
    <w:rsid w:val="00E3410B"/>
    <w:rsid w:val="00E4536A"/>
    <w:rsid w:val="00E51565"/>
    <w:rsid w:val="00E52E10"/>
    <w:rsid w:val="00E60375"/>
    <w:rsid w:val="00E60755"/>
    <w:rsid w:val="00E61EA2"/>
    <w:rsid w:val="00E67369"/>
    <w:rsid w:val="00E74086"/>
    <w:rsid w:val="00E87E67"/>
    <w:rsid w:val="00E91715"/>
    <w:rsid w:val="00EA154B"/>
    <w:rsid w:val="00EA2AF4"/>
    <w:rsid w:val="00EA3034"/>
    <w:rsid w:val="00EB1E91"/>
    <w:rsid w:val="00EB2B32"/>
    <w:rsid w:val="00EB3EEC"/>
    <w:rsid w:val="00EC17D6"/>
    <w:rsid w:val="00EE23E2"/>
    <w:rsid w:val="00EE44ED"/>
    <w:rsid w:val="00EE4A27"/>
    <w:rsid w:val="00EF5630"/>
    <w:rsid w:val="00EF6FC0"/>
    <w:rsid w:val="00F00312"/>
    <w:rsid w:val="00F00B0C"/>
    <w:rsid w:val="00F0594A"/>
    <w:rsid w:val="00F06B7E"/>
    <w:rsid w:val="00F23DCB"/>
    <w:rsid w:val="00F23E73"/>
    <w:rsid w:val="00F2428E"/>
    <w:rsid w:val="00F2440E"/>
    <w:rsid w:val="00F346EF"/>
    <w:rsid w:val="00F34E02"/>
    <w:rsid w:val="00F4160F"/>
    <w:rsid w:val="00F44913"/>
    <w:rsid w:val="00F46E12"/>
    <w:rsid w:val="00F471CB"/>
    <w:rsid w:val="00F53BF0"/>
    <w:rsid w:val="00F670E6"/>
    <w:rsid w:val="00F74BE6"/>
    <w:rsid w:val="00F81034"/>
    <w:rsid w:val="00F813A9"/>
    <w:rsid w:val="00F82CC7"/>
    <w:rsid w:val="00F90D9C"/>
    <w:rsid w:val="00FA19DA"/>
    <w:rsid w:val="00FB1410"/>
    <w:rsid w:val="00FB4266"/>
    <w:rsid w:val="00FB7E52"/>
    <w:rsid w:val="00FC3F01"/>
    <w:rsid w:val="00FD2521"/>
    <w:rsid w:val="00FD2696"/>
    <w:rsid w:val="00FE2BE7"/>
    <w:rsid w:val="00FE5A45"/>
    <w:rsid w:val="00FF15DD"/>
    <w:rsid w:val="00FF1E61"/>
    <w:rsid w:val="00FF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15075"/>
  <w15:docId w15:val="{4D252C3B-5A99-4063-B0DA-197FD6CA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E190F"/>
    <w:pPr>
      <w:spacing w:before="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rsid w:val="00F23E73"/>
    <w:pPr>
      <w:keepNext/>
      <w:spacing w:before="240" w:after="60"/>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3C33FF"/>
    <w:pPr>
      <w:spacing w:before="240" w:after="60"/>
      <w:outlineLvl w:val="4"/>
    </w:pPr>
    <w:rPr>
      <w:bCs/>
      <w:i/>
      <w:iCs/>
      <w:szCs w:val="26"/>
    </w:rPr>
  </w:style>
  <w:style w:type="paragraph" w:styleId="Heading6">
    <w:name w:val="heading 6"/>
    <w:basedOn w:val="Normal"/>
    <w:next w:val="Normal"/>
    <w:qFormat/>
    <w:pPr>
      <w:keepNext/>
      <w:jc w:val="center"/>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3DBA"/>
    <w:pPr>
      <w:tabs>
        <w:tab w:val="center" w:pos="4153"/>
        <w:tab w:val="right" w:pos="8306"/>
      </w:tabs>
    </w:pPr>
    <w:rPr>
      <w:sz w:val="18"/>
      <w:szCs w:val="20"/>
    </w:rPr>
  </w:style>
  <w:style w:type="paragraph" w:styleId="Footer">
    <w:name w:val="footer"/>
    <w:basedOn w:val="Normal"/>
    <w:autoRedefine/>
    <w:rsid w:val="008E00B7"/>
    <w:pPr>
      <w:tabs>
        <w:tab w:val="center" w:pos="4153"/>
        <w:tab w:val="right" w:pos="8306"/>
      </w:tabs>
      <w:spacing w:before="0"/>
    </w:pPr>
    <w:rPr>
      <w:sz w:val="16"/>
    </w:rPr>
  </w:style>
  <w:style w:type="paragraph" w:styleId="BodyText">
    <w:name w:val="Body Text"/>
    <w:basedOn w:val="Normal"/>
    <w:next w:val="Normal"/>
    <w:autoRedefine/>
    <w:rsid w:val="00FF1E61"/>
    <w:pPr>
      <w:spacing w:after="120"/>
    </w:pPr>
    <w:rPr>
      <w:i/>
    </w:rPr>
  </w:style>
  <w:style w:type="character" w:styleId="PageNumber">
    <w:name w:val="page number"/>
    <w:basedOn w:val="DefaultParagraphFont"/>
  </w:style>
  <w:style w:type="paragraph" w:styleId="ListBullet">
    <w:name w:val="List Bullet"/>
    <w:basedOn w:val="Normal"/>
    <w:autoRedefine/>
    <w:rsid w:val="003C33FF"/>
    <w:pPr>
      <w:numPr>
        <w:numId w:val="9"/>
      </w:numPr>
      <w:spacing w:before="0"/>
    </w:pPr>
  </w:style>
  <w:style w:type="paragraph" w:styleId="TableofFigures">
    <w:name w:val="table of figures"/>
    <w:basedOn w:val="Normal"/>
    <w:next w:val="Normal"/>
    <w:semiHidden/>
    <w:pPr>
      <w:ind w:left="480" w:hanging="480"/>
    </w:pPr>
  </w:style>
  <w:style w:type="paragraph" w:styleId="BodyText2">
    <w:name w:val="Body Text 2"/>
    <w:basedOn w:val="Normal"/>
    <w:rPr>
      <w:sz w:val="20"/>
    </w:rPr>
  </w:style>
  <w:style w:type="paragraph" w:styleId="ListBullet3">
    <w:name w:val="List Bullet 3"/>
    <w:basedOn w:val="ListBullet"/>
    <w:autoRedefine/>
    <w:rsid w:val="008E00B7"/>
    <w:pPr>
      <w:numPr>
        <w:numId w:val="10"/>
      </w:numPr>
    </w:pPr>
  </w:style>
  <w:style w:type="paragraph" w:styleId="ListBullet2">
    <w:name w:val="List Bullet 2"/>
    <w:basedOn w:val="Normal"/>
    <w:autoRedefine/>
    <w:pPr>
      <w:numPr>
        <w:numId w:val="3"/>
      </w:numPr>
      <w:spacing w:before="0"/>
      <w:ind w:left="357" w:hanging="357"/>
    </w:pPr>
  </w:style>
  <w:style w:type="paragraph" w:customStyle="1" w:styleId="Table">
    <w:name w:val="Table"/>
    <w:basedOn w:val="Normal"/>
    <w:pPr>
      <w:spacing w:before="0"/>
    </w:pPr>
    <w:rPr>
      <w:rFonts w:ascii="Arial Narrow" w:hAnsi="Arial Narrow"/>
    </w:rPr>
  </w:style>
  <w:style w:type="paragraph" w:customStyle="1" w:styleId="Style1">
    <w:name w:val="Style1"/>
    <w:basedOn w:val="Normal"/>
  </w:style>
  <w:style w:type="table" w:styleId="TableGrid">
    <w:name w:val="Table Grid"/>
    <w:basedOn w:val="TableNormal"/>
    <w:rsid w:val="00C1176F"/>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
    <w:pPr>
      <w:numPr>
        <w:numId w:val="4"/>
      </w:numPr>
    </w:pPr>
    <w:rPr>
      <w:snapToGrid w:val="0"/>
    </w:rPr>
  </w:style>
  <w:style w:type="paragraph" w:customStyle="1" w:styleId="Box">
    <w:name w:val="Box"/>
    <w:basedOn w:val="Normal"/>
    <w:next w:val="Normal"/>
    <w:rsid w:val="00966FCD"/>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List-MultipleChoice">
    <w:name w:val="List- Multiple Choice"/>
    <w:basedOn w:val="Normal"/>
    <w:rsid w:val="00E67369"/>
    <w:pPr>
      <w:numPr>
        <w:numId w:val="6"/>
      </w:numPr>
    </w:pPr>
  </w:style>
  <w:style w:type="character" w:customStyle="1" w:styleId="StyleArial">
    <w:name w:val="Style Arial"/>
    <w:basedOn w:val="DefaultParagraphFont"/>
    <w:rsid w:val="00790A64"/>
    <w:rPr>
      <w:rFonts w:ascii="Arial" w:hAnsi="Arial"/>
    </w:rPr>
  </w:style>
  <w:style w:type="character" w:styleId="Hyperlink">
    <w:name w:val="Hyperlink"/>
    <w:basedOn w:val="DefaultParagraphFont"/>
    <w:rsid w:val="008C147C"/>
    <w:rPr>
      <w:color w:val="0000FF"/>
      <w:u w:val="single"/>
    </w:rPr>
  </w:style>
  <w:style w:type="paragraph" w:styleId="ListNumber">
    <w:name w:val="List Number"/>
    <w:basedOn w:val="Normal"/>
    <w:rsid w:val="00390611"/>
    <w:pPr>
      <w:numPr>
        <w:numId w:val="13"/>
      </w:numPr>
    </w:pPr>
  </w:style>
  <w:style w:type="paragraph" w:styleId="BalloonText">
    <w:name w:val="Balloon Text"/>
    <w:basedOn w:val="Normal"/>
    <w:semiHidden/>
    <w:rsid w:val="00383BF7"/>
    <w:rPr>
      <w:rFonts w:ascii="Tahoma" w:hAnsi="Tahoma" w:cs="Tahoma"/>
      <w:sz w:val="16"/>
      <w:szCs w:val="16"/>
    </w:rPr>
  </w:style>
  <w:style w:type="paragraph" w:styleId="FootnoteText">
    <w:name w:val="footnote text"/>
    <w:basedOn w:val="Normal"/>
    <w:semiHidden/>
    <w:rsid w:val="00E74086"/>
    <w:rPr>
      <w:sz w:val="20"/>
    </w:rPr>
  </w:style>
  <w:style w:type="character" w:styleId="FootnoteReference">
    <w:name w:val="footnote reference"/>
    <w:basedOn w:val="DefaultParagraphFont"/>
    <w:semiHidden/>
    <w:rsid w:val="00E74086"/>
    <w:rPr>
      <w:vertAlign w:val="superscript"/>
    </w:rPr>
  </w:style>
  <w:style w:type="paragraph" w:styleId="ListNumber2">
    <w:name w:val="List Number 2"/>
    <w:basedOn w:val="Normal"/>
    <w:autoRedefine/>
    <w:rsid w:val="00791969"/>
    <w:pPr>
      <w:numPr>
        <w:numId w:val="16"/>
      </w:numPr>
    </w:pPr>
  </w:style>
  <w:style w:type="character" w:styleId="FollowedHyperlink">
    <w:name w:val="FollowedHyperlink"/>
    <w:basedOn w:val="DefaultParagraphFont"/>
    <w:rsid w:val="000D5AAA"/>
    <w:rPr>
      <w:color w:val="800080"/>
      <w:u w:val="single"/>
    </w:rPr>
  </w:style>
  <w:style w:type="character" w:customStyle="1" w:styleId="UnresolvedMention">
    <w:name w:val="Unresolved Mention"/>
    <w:basedOn w:val="DefaultParagraphFont"/>
    <w:uiPriority w:val="99"/>
    <w:semiHidden/>
    <w:unhideWhenUsed/>
    <w:rsid w:val="00F4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4002">
      <w:bodyDiv w:val="1"/>
      <w:marLeft w:val="0"/>
      <w:marRight w:val="0"/>
      <w:marTop w:val="0"/>
      <w:marBottom w:val="0"/>
      <w:divBdr>
        <w:top w:val="none" w:sz="0" w:space="0" w:color="auto"/>
        <w:left w:val="none" w:sz="0" w:space="0" w:color="auto"/>
        <w:bottom w:val="none" w:sz="0" w:space="0" w:color="auto"/>
        <w:right w:val="none" w:sz="0" w:space="0" w:color="auto"/>
      </w:divBdr>
    </w:div>
    <w:div w:id="496458190">
      <w:bodyDiv w:val="1"/>
      <w:marLeft w:val="51"/>
      <w:marRight w:val="51"/>
      <w:marTop w:val="51"/>
      <w:marBottom w:val="13"/>
      <w:divBdr>
        <w:top w:val="none" w:sz="0" w:space="0" w:color="auto"/>
        <w:left w:val="none" w:sz="0" w:space="0" w:color="auto"/>
        <w:bottom w:val="none" w:sz="0" w:space="0" w:color="auto"/>
        <w:right w:val="none" w:sz="0" w:space="0" w:color="auto"/>
      </w:divBdr>
      <w:divsChild>
        <w:div w:id="9365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3" Type="http://schemas.openxmlformats.org/officeDocument/2006/relationships/settings" Target="settings.xml"/><Relationship Id="rId7" Type="http://schemas.openxmlformats.org/officeDocument/2006/relationships/hyperlink" Target="http://www.legislation.gov.uk/ukpga/1998/23/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1999/1549/schedule/m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Template>
  <TotalTime>18</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Record-keeping Policy</vt:lpstr>
    </vt:vector>
  </TitlesOfParts>
  <Company/>
  <LinksUpToDate>false</LinksUpToDate>
  <CharactersWithSpaces>4919</CharactersWithSpaces>
  <SharedDoc>false</SharedDoc>
  <HLinks>
    <vt:vector size="18" baseType="variant">
      <vt:variant>
        <vt:i4>7274547</vt:i4>
      </vt:variant>
      <vt:variant>
        <vt:i4>6</vt:i4>
      </vt:variant>
      <vt:variant>
        <vt:i4>0</vt:i4>
      </vt:variant>
      <vt:variant>
        <vt:i4>5</vt:i4>
      </vt:variant>
      <vt:variant>
        <vt:lpwstr>http://www.legislation.gov.uk/uksi/1999/1549/schedule/made</vt:lpwstr>
      </vt:variant>
      <vt:variant>
        <vt:lpwstr/>
      </vt:variant>
      <vt:variant>
        <vt:i4>2293817</vt:i4>
      </vt:variant>
      <vt:variant>
        <vt:i4>3</vt:i4>
      </vt:variant>
      <vt:variant>
        <vt:i4>0</vt:i4>
      </vt:variant>
      <vt:variant>
        <vt:i4>5</vt:i4>
      </vt:variant>
      <vt:variant>
        <vt:lpwstr>http://www.pcaw.org.uk/</vt:lpwstr>
      </vt:variant>
      <vt:variant>
        <vt:lpwstr/>
      </vt:variant>
      <vt:variant>
        <vt:i4>4653123</vt:i4>
      </vt:variant>
      <vt:variant>
        <vt:i4>0</vt:i4>
      </vt:variant>
      <vt:variant>
        <vt:i4>0</vt:i4>
      </vt:variant>
      <vt:variant>
        <vt:i4>5</vt:i4>
      </vt:variant>
      <vt:variant>
        <vt:lpwstr>http://www.legislation.gov.uk/ukpga/1998/23/contents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Policy</dc:title>
  <dc:creator>Rick Gwilt</dc:creator>
  <cp:lastModifiedBy>Michelle Foster</cp:lastModifiedBy>
  <cp:revision>5</cp:revision>
  <cp:lastPrinted>2014-05-23T17:35:00Z</cp:lastPrinted>
  <dcterms:created xsi:type="dcterms:W3CDTF">2016-05-12T09:50:00Z</dcterms:created>
  <dcterms:modified xsi:type="dcterms:W3CDTF">2023-02-28T09:28:00Z</dcterms:modified>
</cp:coreProperties>
</file>