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6095"/>
        <w:gridCol w:w="1695"/>
      </w:tblGrid>
      <w:tr w:rsidR="00E53CCD" w:rsidTr="00E53CCD">
        <w:tc>
          <w:tcPr>
            <w:tcW w:w="1838" w:type="dxa"/>
            <w:vAlign w:val="center"/>
          </w:tcPr>
          <w:p w:rsidR="00E53CCD" w:rsidRDefault="00E53CCD" w:rsidP="00E53CCD">
            <w:pPr>
              <w:rPr>
                <w:b/>
              </w:rPr>
            </w:pPr>
            <w:bookmarkStart w:id="0" w:name="_GoBack"/>
            <w:bookmarkEnd w:id="0"/>
            <w:r>
              <w:rPr>
                <w:noProof/>
                <w:lang w:eastAsia="en-GB"/>
              </w:rPr>
              <w:drawing>
                <wp:inline distT="0" distB="0" distL="0" distR="0">
                  <wp:extent cx="1019175" cy="5511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OPN 2 new logo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551180"/>
                          </a:xfrm>
                          <a:prstGeom prst="rect">
                            <a:avLst/>
                          </a:prstGeom>
                        </pic:spPr>
                      </pic:pic>
                    </a:graphicData>
                  </a:graphic>
                </wp:inline>
              </w:drawing>
            </w:r>
          </w:p>
        </w:tc>
        <w:tc>
          <w:tcPr>
            <w:tcW w:w="6095" w:type="dxa"/>
            <w:vAlign w:val="center"/>
          </w:tcPr>
          <w:p w:rsidR="00E53CCD" w:rsidRDefault="00E53CCD" w:rsidP="00E53CCD">
            <w:pPr>
              <w:rPr>
                <w:b/>
                <w:sz w:val="28"/>
              </w:rPr>
            </w:pPr>
          </w:p>
          <w:p w:rsidR="00E53CCD" w:rsidRPr="00E53CCD" w:rsidRDefault="00E53CCD" w:rsidP="00E53CCD">
            <w:pPr>
              <w:rPr>
                <w:b/>
                <w:sz w:val="28"/>
              </w:rPr>
            </w:pPr>
            <w:r w:rsidRPr="00E53CCD">
              <w:rPr>
                <w:b/>
                <w:sz w:val="28"/>
              </w:rPr>
              <w:t xml:space="preserve">Greater Manchester Combined Authority </w:t>
            </w:r>
            <w:r>
              <w:rPr>
                <w:b/>
                <w:sz w:val="28"/>
              </w:rPr>
              <w:br/>
              <w:t xml:space="preserve">Older People’s </w:t>
            </w:r>
            <w:r w:rsidRPr="00E53CCD">
              <w:rPr>
                <w:b/>
                <w:sz w:val="28"/>
              </w:rPr>
              <w:t xml:space="preserve">Equalities Panel </w:t>
            </w:r>
            <w:r>
              <w:rPr>
                <w:b/>
                <w:sz w:val="28"/>
              </w:rPr>
              <w:br/>
            </w:r>
            <w:r w:rsidRPr="00E53CCD">
              <w:rPr>
                <w:b/>
                <w:sz w:val="28"/>
              </w:rPr>
              <w:t>Development Worker</w:t>
            </w:r>
          </w:p>
          <w:p w:rsidR="00E53CCD" w:rsidRDefault="00E53CCD" w:rsidP="00E53CCD">
            <w:pPr>
              <w:rPr>
                <w:b/>
              </w:rPr>
            </w:pPr>
          </w:p>
        </w:tc>
        <w:tc>
          <w:tcPr>
            <w:tcW w:w="1695" w:type="dxa"/>
            <w:vAlign w:val="center"/>
          </w:tcPr>
          <w:p w:rsidR="00E53CCD" w:rsidRDefault="00E53CCD" w:rsidP="00E53CCD">
            <w:pPr>
              <w:jc w:val="right"/>
              <w:rPr>
                <w:b/>
              </w:rPr>
            </w:pPr>
            <w:r>
              <w:rPr>
                <w:noProof/>
                <w:lang w:eastAsia="en-GB"/>
              </w:rPr>
              <w:drawing>
                <wp:inline distT="0" distB="0" distL="0" distR="0">
                  <wp:extent cx="9906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_Strap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666750"/>
                          </a:xfrm>
                          <a:prstGeom prst="rect">
                            <a:avLst/>
                          </a:prstGeom>
                        </pic:spPr>
                      </pic:pic>
                    </a:graphicData>
                  </a:graphic>
                </wp:inline>
              </w:drawing>
            </w:r>
          </w:p>
        </w:tc>
      </w:tr>
    </w:tbl>
    <w:p w:rsidR="00E53CCD" w:rsidRPr="00E53CCD" w:rsidRDefault="00E53CCD" w:rsidP="00E53CCD">
      <w:pPr>
        <w:spacing w:after="0" w:line="240" w:lineRule="auto"/>
        <w:rPr>
          <w:sz w:val="24"/>
        </w:rPr>
      </w:pPr>
    </w:p>
    <w:p w:rsidR="003F6156" w:rsidRPr="00E53CCD" w:rsidRDefault="003F6156" w:rsidP="00E53CCD">
      <w:pPr>
        <w:spacing w:after="0" w:line="240" w:lineRule="auto"/>
        <w:rPr>
          <w:b/>
          <w:sz w:val="24"/>
        </w:rPr>
      </w:pPr>
      <w:r w:rsidRPr="00E53CCD">
        <w:rPr>
          <w:b/>
          <w:sz w:val="24"/>
        </w:rPr>
        <w:t>Background to the Panel</w:t>
      </w:r>
    </w:p>
    <w:p w:rsidR="00D628E8" w:rsidRDefault="00414FE5" w:rsidP="00E53CCD">
      <w:pPr>
        <w:spacing w:after="0" w:line="240" w:lineRule="auto"/>
        <w:rPr>
          <w:sz w:val="24"/>
        </w:rPr>
      </w:pPr>
      <w:r w:rsidRPr="00E53CCD">
        <w:rPr>
          <w:sz w:val="24"/>
        </w:rPr>
        <w:t>The Greater Manchester Strategy sets out a clear ambition for ‘</w:t>
      </w:r>
      <w:r w:rsidRPr="00E53CCD">
        <w:rPr>
          <w:i/>
          <w:iCs/>
          <w:sz w:val="24"/>
        </w:rPr>
        <w:t>a place where all voices are heard and where, working together, we can shape our future’</w:t>
      </w:r>
      <w:r w:rsidRPr="00E53CCD">
        <w:rPr>
          <w:sz w:val="24"/>
        </w:rPr>
        <w:t>, and this is reinforced in the principles underpinning the Greater Manchester Model; ‘</w:t>
      </w:r>
      <w:r w:rsidRPr="00E53CCD">
        <w:rPr>
          <w:i/>
          <w:iCs/>
          <w:sz w:val="24"/>
        </w:rPr>
        <w:t>doing with not to</w:t>
      </w:r>
      <w:r w:rsidRPr="00E53CCD">
        <w:rPr>
          <w:sz w:val="24"/>
        </w:rPr>
        <w:t xml:space="preserve">’. </w:t>
      </w:r>
    </w:p>
    <w:p w:rsidR="00E53CCD" w:rsidRPr="00E53CCD" w:rsidRDefault="00E53CCD" w:rsidP="00E53CCD">
      <w:pPr>
        <w:spacing w:after="0" w:line="240" w:lineRule="auto"/>
        <w:rPr>
          <w:sz w:val="24"/>
        </w:rPr>
      </w:pPr>
    </w:p>
    <w:p w:rsidR="00947CE6" w:rsidRPr="00E53CCD" w:rsidRDefault="003F6156" w:rsidP="00E53CCD">
      <w:pPr>
        <w:spacing w:after="0" w:line="240" w:lineRule="auto"/>
        <w:rPr>
          <w:sz w:val="24"/>
        </w:rPr>
      </w:pPr>
      <w:r w:rsidRPr="00E53CCD">
        <w:rPr>
          <w:sz w:val="24"/>
        </w:rPr>
        <w:t xml:space="preserve">The Greater Manchester Combined Authority funds a number of equalities panels, </w:t>
      </w:r>
      <w:r w:rsidR="00947CE6" w:rsidRPr="00E53CCD">
        <w:rPr>
          <w:sz w:val="24"/>
        </w:rPr>
        <w:t xml:space="preserve">of which the older people’s equalities panel is one. The others are </w:t>
      </w:r>
      <w:r w:rsidRPr="00E53CCD">
        <w:rPr>
          <w:sz w:val="24"/>
        </w:rPr>
        <w:t xml:space="preserve">for young people, disabled people, </w:t>
      </w:r>
      <w:r w:rsidR="00947CE6" w:rsidRPr="00E53CCD">
        <w:rPr>
          <w:sz w:val="24"/>
        </w:rPr>
        <w:t xml:space="preserve">women and girls, LGBTQ+, race equality, faith and belief. </w:t>
      </w:r>
    </w:p>
    <w:p w:rsidR="00E53CCD" w:rsidRDefault="00E53CCD" w:rsidP="00E53CCD">
      <w:pPr>
        <w:spacing w:after="0" w:line="240" w:lineRule="auto"/>
        <w:rPr>
          <w:sz w:val="24"/>
        </w:rPr>
      </w:pPr>
    </w:p>
    <w:p w:rsidR="003F6156" w:rsidRPr="00E53CCD" w:rsidRDefault="00947CE6" w:rsidP="00E53CCD">
      <w:pPr>
        <w:spacing w:after="0" w:line="240" w:lineRule="auto"/>
        <w:rPr>
          <w:sz w:val="24"/>
        </w:rPr>
      </w:pPr>
      <w:r w:rsidRPr="00E53CCD">
        <w:rPr>
          <w:sz w:val="24"/>
        </w:rPr>
        <w:t xml:space="preserve">Older people have not previously been represented by a panel so this is a new strategic development and an important step in getting older people’s voices heard in Greater Manchester. It is something that Greater Manchester Older people network and colleagues in the Ageing Hub at the GMCA have been working hard for. </w:t>
      </w:r>
    </w:p>
    <w:p w:rsidR="00E53CCD" w:rsidRDefault="00E53CCD" w:rsidP="00E53CCD">
      <w:pPr>
        <w:spacing w:after="0" w:line="240" w:lineRule="auto"/>
        <w:rPr>
          <w:sz w:val="24"/>
          <w:lang w:val="en-US"/>
        </w:rPr>
      </w:pPr>
    </w:p>
    <w:p w:rsidR="00947CE6" w:rsidRPr="00E53CCD" w:rsidRDefault="00947CE6" w:rsidP="00E53CCD">
      <w:pPr>
        <w:spacing w:after="0" w:line="240" w:lineRule="auto"/>
        <w:rPr>
          <w:sz w:val="24"/>
        </w:rPr>
      </w:pPr>
      <w:r w:rsidRPr="00E53CCD">
        <w:rPr>
          <w:sz w:val="24"/>
          <w:lang w:val="en-US"/>
        </w:rPr>
        <w:t xml:space="preserve">The Equality Panels have been established to help tackle the structural and organisational prejudice and discrimination that causes inequality and injustice in society, through the advancement of equity and fairness in decisions, policies and services across all sectors and communities. </w:t>
      </w:r>
    </w:p>
    <w:p w:rsidR="00E53CCD" w:rsidRDefault="00E53CCD" w:rsidP="00E53CCD">
      <w:pPr>
        <w:spacing w:after="0" w:line="240" w:lineRule="auto"/>
        <w:rPr>
          <w:sz w:val="24"/>
        </w:rPr>
      </w:pPr>
    </w:p>
    <w:p w:rsidR="00947CE6" w:rsidRPr="00E53CCD" w:rsidRDefault="00947CE6" w:rsidP="00E53CCD">
      <w:pPr>
        <w:spacing w:after="0" w:line="240" w:lineRule="auto"/>
        <w:rPr>
          <w:sz w:val="24"/>
        </w:rPr>
      </w:pPr>
      <w:r w:rsidRPr="00E53CCD">
        <w:rPr>
          <w:sz w:val="24"/>
        </w:rPr>
        <w:t xml:space="preserve">The role of </w:t>
      </w:r>
      <w:r w:rsidR="00414FE5" w:rsidRPr="00E53CCD">
        <w:rPr>
          <w:sz w:val="24"/>
        </w:rPr>
        <w:t>GMCA equalities panels</w:t>
      </w:r>
      <w:r w:rsidRPr="00E53CCD">
        <w:rPr>
          <w:sz w:val="24"/>
        </w:rPr>
        <w:t xml:space="preserve">: </w:t>
      </w:r>
    </w:p>
    <w:p w:rsidR="00D628E8" w:rsidRPr="00E53CCD" w:rsidRDefault="00414FE5" w:rsidP="00E53CCD">
      <w:pPr>
        <w:pStyle w:val="ListParagraph"/>
        <w:numPr>
          <w:ilvl w:val="0"/>
          <w:numId w:val="6"/>
        </w:numPr>
        <w:spacing w:after="0" w:line="240" w:lineRule="auto"/>
        <w:rPr>
          <w:sz w:val="24"/>
        </w:rPr>
      </w:pPr>
      <w:r w:rsidRPr="00E53CCD">
        <w:rPr>
          <w:b/>
          <w:bCs/>
          <w:sz w:val="24"/>
          <w:lang w:val="en-US"/>
        </w:rPr>
        <w:t xml:space="preserve">Champion </w:t>
      </w:r>
      <w:r w:rsidRPr="00E53CCD">
        <w:rPr>
          <w:sz w:val="24"/>
          <w:lang w:val="en-US"/>
        </w:rPr>
        <w:t>Greater Manchester’s cultural heritage and history of community inclusion and social justice</w:t>
      </w:r>
    </w:p>
    <w:p w:rsidR="00D628E8" w:rsidRPr="00E53CCD" w:rsidRDefault="00414FE5" w:rsidP="00E53CCD">
      <w:pPr>
        <w:pStyle w:val="ListParagraph"/>
        <w:numPr>
          <w:ilvl w:val="0"/>
          <w:numId w:val="6"/>
        </w:numPr>
        <w:spacing w:after="0" w:line="240" w:lineRule="auto"/>
        <w:rPr>
          <w:sz w:val="24"/>
        </w:rPr>
      </w:pPr>
      <w:r w:rsidRPr="00E53CCD">
        <w:rPr>
          <w:b/>
          <w:bCs/>
          <w:sz w:val="24"/>
          <w:lang w:val="en-US"/>
        </w:rPr>
        <w:lastRenderedPageBreak/>
        <w:t>Advise</w:t>
      </w:r>
      <w:r w:rsidRPr="00E53CCD">
        <w:rPr>
          <w:sz w:val="24"/>
          <w:lang w:val="en-US"/>
        </w:rPr>
        <w:t xml:space="preserve"> the Mayor of Greater Manchester and the Greater Manchester Lead for Ageing and Equalities of the challenges and opportunities faced by people linked to their identity. </w:t>
      </w:r>
    </w:p>
    <w:p w:rsidR="00D628E8" w:rsidRPr="00E53CCD" w:rsidRDefault="00414FE5" w:rsidP="00E53CCD">
      <w:pPr>
        <w:pStyle w:val="ListParagraph"/>
        <w:numPr>
          <w:ilvl w:val="0"/>
          <w:numId w:val="6"/>
        </w:numPr>
        <w:spacing w:after="0" w:line="240" w:lineRule="auto"/>
        <w:rPr>
          <w:sz w:val="24"/>
        </w:rPr>
      </w:pPr>
      <w:r w:rsidRPr="00E53CCD">
        <w:rPr>
          <w:b/>
          <w:bCs/>
          <w:sz w:val="24"/>
          <w:lang w:val="en-US"/>
        </w:rPr>
        <w:t>Constructively challenge</w:t>
      </w:r>
      <w:r w:rsidRPr="00E53CCD">
        <w:rPr>
          <w:sz w:val="24"/>
          <w:lang w:val="en-US"/>
        </w:rPr>
        <w:t xml:space="preserve"> political and system leaders for tackling prejudice and discrimination within their organisations and structures</w:t>
      </w:r>
    </w:p>
    <w:p w:rsidR="003F6156" w:rsidRPr="00E53CCD" w:rsidRDefault="00947CE6" w:rsidP="00E53CCD">
      <w:pPr>
        <w:pStyle w:val="ListParagraph"/>
        <w:numPr>
          <w:ilvl w:val="0"/>
          <w:numId w:val="6"/>
        </w:numPr>
        <w:spacing w:after="0" w:line="240" w:lineRule="auto"/>
        <w:rPr>
          <w:sz w:val="24"/>
        </w:rPr>
      </w:pPr>
      <w:r w:rsidRPr="00E53CCD">
        <w:rPr>
          <w:b/>
          <w:bCs/>
          <w:sz w:val="24"/>
          <w:lang w:val="en-US"/>
        </w:rPr>
        <w:t xml:space="preserve">Proactively support </w:t>
      </w:r>
      <w:r w:rsidRPr="00E53CCD">
        <w:rPr>
          <w:sz w:val="24"/>
          <w:lang w:val="en-US"/>
        </w:rPr>
        <w:t>the Greater Manchester Combined Authority (GMCA) and its public, private and voluntary sector partners to develop effective solutions that tackle inequality and increase</w:t>
      </w:r>
      <w:r w:rsidR="00414FE5" w:rsidRPr="00E53CCD">
        <w:rPr>
          <w:sz w:val="24"/>
          <w:lang w:val="en-US"/>
        </w:rPr>
        <w:t xml:space="preserve"> equity</w:t>
      </w:r>
    </w:p>
    <w:p w:rsidR="00414FE5" w:rsidRPr="00E53CCD" w:rsidRDefault="00414FE5" w:rsidP="00E53CCD">
      <w:pPr>
        <w:pStyle w:val="ListParagraph"/>
        <w:numPr>
          <w:ilvl w:val="0"/>
          <w:numId w:val="6"/>
        </w:numPr>
        <w:spacing w:after="0" w:line="240" w:lineRule="auto"/>
        <w:rPr>
          <w:sz w:val="24"/>
        </w:rPr>
      </w:pPr>
      <w:r w:rsidRPr="00E53CCD">
        <w:rPr>
          <w:sz w:val="24"/>
        </w:rPr>
        <w:t xml:space="preserve">providing </w:t>
      </w:r>
      <w:r w:rsidRPr="00E53CCD">
        <w:rPr>
          <w:b/>
          <w:sz w:val="24"/>
        </w:rPr>
        <w:t>insight</w:t>
      </w:r>
      <w:r w:rsidRPr="00E53CCD">
        <w:rPr>
          <w:sz w:val="24"/>
        </w:rPr>
        <w:t xml:space="preserve"> into our diverse communities, enabling political leaders and public bodies to listen and engage with people in a more targeted and appropriate way</w:t>
      </w:r>
    </w:p>
    <w:p w:rsidR="00414FE5" w:rsidRPr="00E53CCD" w:rsidRDefault="00414FE5" w:rsidP="00E53CCD">
      <w:pPr>
        <w:pStyle w:val="ListParagraph"/>
        <w:numPr>
          <w:ilvl w:val="0"/>
          <w:numId w:val="6"/>
        </w:numPr>
        <w:spacing w:after="0" w:line="240" w:lineRule="auto"/>
        <w:rPr>
          <w:sz w:val="24"/>
        </w:rPr>
      </w:pPr>
      <w:r w:rsidRPr="00E53CCD">
        <w:rPr>
          <w:b/>
          <w:sz w:val="24"/>
        </w:rPr>
        <w:t>communicating</w:t>
      </w:r>
      <w:r w:rsidRPr="00E53CCD">
        <w:rPr>
          <w:sz w:val="24"/>
        </w:rPr>
        <w:t xml:space="preserve"> key messages to our communities as trusted sources </w:t>
      </w:r>
    </w:p>
    <w:p w:rsidR="00414FE5" w:rsidRPr="00E53CCD" w:rsidRDefault="00414FE5" w:rsidP="00E53CCD">
      <w:pPr>
        <w:pStyle w:val="ListParagraph"/>
        <w:numPr>
          <w:ilvl w:val="0"/>
          <w:numId w:val="6"/>
        </w:numPr>
        <w:spacing w:after="0" w:line="240" w:lineRule="auto"/>
        <w:rPr>
          <w:sz w:val="24"/>
        </w:rPr>
      </w:pPr>
      <w:r w:rsidRPr="00E53CCD">
        <w:rPr>
          <w:sz w:val="24"/>
        </w:rPr>
        <w:t xml:space="preserve">working with public bodies to </w:t>
      </w:r>
      <w:r w:rsidRPr="00E53CCD">
        <w:rPr>
          <w:b/>
          <w:sz w:val="24"/>
        </w:rPr>
        <w:t>codesign</w:t>
      </w:r>
      <w:r w:rsidRPr="00E53CCD">
        <w:rPr>
          <w:sz w:val="24"/>
        </w:rPr>
        <w:t xml:space="preserve"> more effective policy, commissioning and services with public bodies, improving outcomes for individuals, reducing inequality and preventing expenditure in other parts of the system</w:t>
      </w:r>
    </w:p>
    <w:p w:rsidR="00414FE5" w:rsidRPr="00E53CCD" w:rsidRDefault="00414FE5" w:rsidP="00E53CCD">
      <w:pPr>
        <w:pStyle w:val="ListParagraph"/>
        <w:numPr>
          <w:ilvl w:val="0"/>
          <w:numId w:val="6"/>
        </w:numPr>
        <w:spacing w:after="0" w:line="240" w:lineRule="auto"/>
        <w:rPr>
          <w:sz w:val="24"/>
        </w:rPr>
      </w:pPr>
      <w:r w:rsidRPr="00E53CCD">
        <w:rPr>
          <w:sz w:val="24"/>
        </w:rPr>
        <w:t xml:space="preserve">supporting an </w:t>
      </w:r>
      <w:r w:rsidRPr="00E53CCD">
        <w:rPr>
          <w:b/>
          <w:sz w:val="24"/>
        </w:rPr>
        <w:t>asset-based</w:t>
      </w:r>
      <w:r w:rsidRPr="00E53CCD">
        <w:rPr>
          <w:sz w:val="24"/>
        </w:rPr>
        <w:t xml:space="preserve"> approach, highlighting new opportunities (and challenges) for positive collaboration that build on the resources and strengths within our communities</w:t>
      </w:r>
    </w:p>
    <w:p w:rsidR="00E53CCD" w:rsidRPr="00E53CCD" w:rsidRDefault="00414FE5" w:rsidP="00E53CCD">
      <w:pPr>
        <w:pStyle w:val="ListParagraph"/>
        <w:numPr>
          <w:ilvl w:val="0"/>
          <w:numId w:val="6"/>
        </w:numPr>
        <w:spacing w:after="0" w:line="240" w:lineRule="auto"/>
        <w:rPr>
          <w:sz w:val="24"/>
        </w:rPr>
      </w:pPr>
      <w:r w:rsidRPr="00E53CCD">
        <w:rPr>
          <w:sz w:val="24"/>
        </w:rPr>
        <w:t>Membership of the panels aims to reflect the diversity of Greater Manchester, with a broad representation across different demographics, the ten districts, and across sectors and other interests. Collectively, panel members possess strong links to the communities that they provide the voice of, through grass roots organisations and established networks.</w:t>
      </w:r>
      <w:r w:rsidR="00E53CCD">
        <w:rPr>
          <w:sz w:val="24"/>
        </w:rPr>
        <w:t xml:space="preserve"> </w:t>
      </w:r>
      <w:r w:rsidRPr="00E53CCD">
        <w:rPr>
          <w:sz w:val="24"/>
        </w:rPr>
        <w:t>Furthermore, the Panels take an intersectional approach where appropriate, collaborating with other GM Equality Panels and networks.</w:t>
      </w:r>
    </w:p>
    <w:p w:rsidR="00E53CCD" w:rsidRDefault="00E53CCD" w:rsidP="00E53CCD">
      <w:pPr>
        <w:spacing w:after="0" w:line="240" w:lineRule="auto"/>
        <w:rPr>
          <w:sz w:val="24"/>
        </w:rPr>
      </w:pPr>
    </w:p>
    <w:p w:rsidR="00DA2A07" w:rsidRPr="00E53CCD" w:rsidRDefault="00DA2A07" w:rsidP="00E53CCD">
      <w:pPr>
        <w:spacing w:after="0" w:line="240" w:lineRule="auto"/>
        <w:rPr>
          <w:sz w:val="24"/>
        </w:rPr>
      </w:pPr>
      <w:r w:rsidRPr="00E53CCD">
        <w:rPr>
          <w:sz w:val="24"/>
        </w:rPr>
        <w:t xml:space="preserve">Each of the equalities panel’s is facilitated by an organisation able to bring expertise / lived experience around the particular equalities area. The panels are built on the principles of co-production and the GMOPN and Macc are seeking a development who will develop the new panel, recruiting new members, ensuring diverse representation from </w:t>
      </w:r>
      <w:r w:rsidRPr="00E53CCD">
        <w:rPr>
          <w:sz w:val="24"/>
        </w:rPr>
        <w:lastRenderedPageBreak/>
        <w:t xml:space="preserve">across Greater </w:t>
      </w:r>
      <w:r w:rsidR="00F8038C" w:rsidRPr="00E53CCD">
        <w:rPr>
          <w:sz w:val="24"/>
        </w:rPr>
        <w:t>Manchester’s 10 borough</w:t>
      </w:r>
      <w:r w:rsidRPr="00E53CCD">
        <w:rPr>
          <w:sz w:val="24"/>
        </w:rPr>
        <w:t xml:space="preserve">s and building strong links with the other panels. You will work closely with the Macc GMOPN team, the GMON, The GMCA Ageing Hub and Communications Team. More details in the enclosed job description. </w:t>
      </w:r>
    </w:p>
    <w:p w:rsidR="00E53CCD" w:rsidRDefault="00E53CCD" w:rsidP="00E53CCD">
      <w:pPr>
        <w:spacing w:after="0" w:line="240" w:lineRule="auto"/>
        <w:rPr>
          <w:sz w:val="24"/>
        </w:rPr>
      </w:pPr>
    </w:p>
    <w:p w:rsidR="00DA2A07" w:rsidRPr="00E53CCD" w:rsidRDefault="00F8038C" w:rsidP="00E53CCD">
      <w:pPr>
        <w:spacing w:after="0" w:line="240" w:lineRule="auto"/>
        <w:rPr>
          <w:sz w:val="24"/>
        </w:rPr>
      </w:pPr>
      <w:r w:rsidRPr="00E53CCD">
        <w:rPr>
          <w:sz w:val="24"/>
        </w:rPr>
        <w:t xml:space="preserve">GMOPN website: </w:t>
      </w:r>
      <w:hyperlink r:id="rId9" w:history="1">
        <w:r w:rsidRPr="00E53CCD">
          <w:rPr>
            <w:rStyle w:val="Hyperlink"/>
            <w:sz w:val="24"/>
          </w:rPr>
          <w:t>https://www.gmopn.org.uk/</w:t>
        </w:r>
      </w:hyperlink>
      <w:r w:rsidRPr="00E53CCD">
        <w:rPr>
          <w:sz w:val="24"/>
        </w:rPr>
        <w:t xml:space="preserve"> </w:t>
      </w:r>
    </w:p>
    <w:p w:rsidR="00E53CCD" w:rsidRDefault="00E53CCD" w:rsidP="00E53CCD">
      <w:pPr>
        <w:spacing w:after="0" w:line="240" w:lineRule="auto"/>
        <w:rPr>
          <w:sz w:val="24"/>
        </w:rPr>
      </w:pPr>
    </w:p>
    <w:p w:rsidR="00DA2A07" w:rsidRPr="00E53CCD" w:rsidRDefault="00DA2A07" w:rsidP="00E53CCD">
      <w:pPr>
        <w:spacing w:after="0" w:line="240" w:lineRule="auto"/>
        <w:rPr>
          <w:sz w:val="24"/>
        </w:rPr>
      </w:pPr>
      <w:r w:rsidRPr="00E53CCD">
        <w:rPr>
          <w:sz w:val="24"/>
        </w:rPr>
        <w:t>Macc Website</w:t>
      </w:r>
      <w:r w:rsidR="00F8038C" w:rsidRPr="00E53CCD">
        <w:rPr>
          <w:sz w:val="24"/>
        </w:rPr>
        <w:t xml:space="preserve">: </w:t>
      </w:r>
      <w:hyperlink r:id="rId10" w:history="1">
        <w:r w:rsidR="00F8038C" w:rsidRPr="00E53CCD">
          <w:rPr>
            <w:rStyle w:val="Hyperlink"/>
            <w:sz w:val="24"/>
          </w:rPr>
          <w:t>https://manchestercommunitycentral.org/</w:t>
        </w:r>
      </w:hyperlink>
      <w:r w:rsidR="00F8038C" w:rsidRPr="00E53CCD">
        <w:rPr>
          <w:sz w:val="24"/>
        </w:rPr>
        <w:t xml:space="preserve"> </w:t>
      </w:r>
    </w:p>
    <w:p w:rsidR="00E53CCD" w:rsidRDefault="00E53CCD" w:rsidP="00E53CCD">
      <w:pPr>
        <w:spacing w:after="0" w:line="240" w:lineRule="auto"/>
        <w:rPr>
          <w:sz w:val="24"/>
        </w:rPr>
      </w:pPr>
    </w:p>
    <w:p w:rsidR="00A722F6" w:rsidRPr="00E53CCD" w:rsidRDefault="00F8038C" w:rsidP="00E53CCD">
      <w:pPr>
        <w:spacing w:after="0" w:line="240" w:lineRule="auto"/>
        <w:rPr>
          <w:color w:val="1F497D"/>
          <w:sz w:val="24"/>
        </w:rPr>
      </w:pPr>
      <w:r w:rsidRPr="00E53CCD">
        <w:rPr>
          <w:sz w:val="24"/>
        </w:rPr>
        <w:t xml:space="preserve">GMCA </w:t>
      </w:r>
      <w:r w:rsidR="00E53CCD" w:rsidRPr="00E53CCD">
        <w:rPr>
          <w:sz w:val="24"/>
        </w:rPr>
        <w:t xml:space="preserve">Ageing Hub </w:t>
      </w:r>
      <w:r w:rsidRPr="00E53CCD">
        <w:rPr>
          <w:sz w:val="24"/>
        </w:rPr>
        <w:t xml:space="preserve">website: </w:t>
      </w:r>
      <w:hyperlink r:id="rId11" w:history="1">
        <w:r w:rsidR="00A722F6" w:rsidRPr="00E53CCD">
          <w:rPr>
            <w:rStyle w:val="Hyperlink"/>
            <w:sz w:val="24"/>
          </w:rPr>
          <w:t>https://www.greatermanchester-ca.gov.uk/what-we-do/ageing/</w:t>
        </w:r>
      </w:hyperlink>
    </w:p>
    <w:p w:rsidR="00DA2A07" w:rsidRPr="00E53CCD" w:rsidRDefault="00DA2A07" w:rsidP="00E53CCD">
      <w:pPr>
        <w:spacing w:after="0" w:line="240" w:lineRule="auto"/>
        <w:rPr>
          <w:sz w:val="24"/>
        </w:rPr>
      </w:pPr>
    </w:p>
    <w:p w:rsidR="003F6156" w:rsidRPr="00E53CCD" w:rsidRDefault="003F6156" w:rsidP="00E53CCD">
      <w:pPr>
        <w:spacing w:after="0" w:line="240" w:lineRule="auto"/>
        <w:rPr>
          <w:sz w:val="24"/>
        </w:rPr>
      </w:pPr>
    </w:p>
    <w:sectPr w:rsidR="003F6156" w:rsidRPr="00E53CCD" w:rsidSect="00E53CC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03" w:rsidRDefault="00433003" w:rsidP="005D2047">
      <w:pPr>
        <w:spacing w:after="0" w:line="240" w:lineRule="auto"/>
      </w:pPr>
      <w:r>
        <w:separator/>
      </w:r>
    </w:p>
  </w:endnote>
  <w:endnote w:type="continuationSeparator" w:id="0">
    <w:p w:rsidR="00433003" w:rsidRDefault="00433003" w:rsidP="005D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03" w:rsidRDefault="00433003" w:rsidP="005D2047">
      <w:pPr>
        <w:spacing w:after="0" w:line="240" w:lineRule="auto"/>
      </w:pPr>
      <w:r>
        <w:separator/>
      </w:r>
    </w:p>
  </w:footnote>
  <w:footnote w:type="continuationSeparator" w:id="0">
    <w:p w:rsidR="00433003" w:rsidRDefault="00433003" w:rsidP="005D2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1F8"/>
    <w:multiLevelType w:val="hybridMultilevel"/>
    <w:tmpl w:val="4EFA20E2"/>
    <w:lvl w:ilvl="0" w:tplc="DE482A88">
      <w:start w:val="1"/>
      <w:numFmt w:val="bullet"/>
      <w:lvlText w:val="•"/>
      <w:lvlJc w:val="left"/>
      <w:pPr>
        <w:tabs>
          <w:tab w:val="num" w:pos="720"/>
        </w:tabs>
        <w:ind w:left="720" w:hanging="360"/>
      </w:pPr>
      <w:rPr>
        <w:rFonts w:ascii="Arial" w:hAnsi="Arial" w:hint="default"/>
      </w:rPr>
    </w:lvl>
    <w:lvl w:ilvl="1" w:tplc="F0A20E16" w:tentative="1">
      <w:start w:val="1"/>
      <w:numFmt w:val="bullet"/>
      <w:lvlText w:val="•"/>
      <w:lvlJc w:val="left"/>
      <w:pPr>
        <w:tabs>
          <w:tab w:val="num" w:pos="1440"/>
        </w:tabs>
        <w:ind w:left="1440" w:hanging="360"/>
      </w:pPr>
      <w:rPr>
        <w:rFonts w:ascii="Arial" w:hAnsi="Arial" w:hint="default"/>
      </w:rPr>
    </w:lvl>
    <w:lvl w:ilvl="2" w:tplc="E3642F48" w:tentative="1">
      <w:start w:val="1"/>
      <w:numFmt w:val="bullet"/>
      <w:lvlText w:val="•"/>
      <w:lvlJc w:val="left"/>
      <w:pPr>
        <w:tabs>
          <w:tab w:val="num" w:pos="2160"/>
        </w:tabs>
        <w:ind w:left="2160" w:hanging="360"/>
      </w:pPr>
      <w:rPr>
        <w:rFonts w:ascii="Arial" w:hAnsi="Arial" w:hint="default"/>
      </w:rPr>
    </w:lvl>
    <w:lvl w:ilvl="3" w:tplc="3676CD48" w:tentative="1">
      <w:start w:val="1"/>
      <w:numFmt w:val="bullet"/>
      <w:lvlText w:val="•"/>
      <w:lvlJc w:val="left"/>
      <w:pPr>
        <w:tabs>
          <w:tab w:val="num" w:pos="2880"/>
        </w:tabs>
        <w:ind w:left="2880" w:hanging="360"/>
      </w:pPr>
      <w:rPr>
        <w:rFonts w:ascii="Arial" w:hAnsi="Arial" w:hint="default"/>
      </w:rPr>
    </w:lvl>
    <w:lvl w:ilvl="4" w:tplc="CE1EE418" w:tentative="1">
      <w:start w:val="1"/>
      <w:numFmt w:val="bullet"/>
      <w:lvlText w:val="•"/>
      <w:lvlJc w:val="left"/>
      <w:pPr>
        <w:tabs>
          <w:tab w:val="num" w:pos="3600"/>
        </w:tabs>
        <w:ind w:left="3600" w:hanging="360"/>
      </w:pPr>
      <w:rPr>
        <w:rFonts w:ascii="Arial" w:hAnsi="Arial" w:hint="default"/>
      </w:rPr>
    </w:lvl>
    <w:lvl w:ilvl="5" w:tplc="F702A4E2" w:tentative="1">
      <w:start w:val="1"/>
      <w:numFmt w:val="bullet"/>
      <w:lvlText w:val="•"/>
      <w:lvlJc w:val="left"/>
      <w:pPr>
        <w:tabs>
          <w:tab w:val="num" w:pos="4320"/>
        </w:tabs>
        <w:ind w:left="4320" w:hanging="360"/>
      </w:pPr>
      <w:rPr>
        <w:rFonts w:ascii="Arial" w:hAnsi="Arial" w:hint="default"/>
      </w:rPr>
    </w:lvl>
    <w:lvl w:ilvl="6" w:tplc="F28EF48E" w:tentative="1">
      <w:start w:val="1"/>
      <w:numFmt w:val="bullet"/>
      <w:lvlText w:val="•"/>
      <w:lvlJc w:val="left"/>
      <w:pPr>
        <w:tabs>
          <w:tab w:val="num" w:pos="5040"/>
        </w:tabs>
        <w:ind w:left="5040" w:hanging="360"/>
      </w:pPr>
      <w:rPr>
        <w:rFonts w:ascii="Arial" w:hAnsi="Arial" w:hint="default"/>
      </w:rPr>
    </w:lvl>
    <w:lvl w:ilvl="7" w:tplc="79A4FEFC" w:tentative="1">
      <w:start w:val="1"/>
      <w:numFmt w:val="bullet"/>
      <w:lvlText w:val="•"/>
      <w:lvlJc w:val="left"/>
      <w:pPr>
        <w:tabs>
          <w:tab w:val="num" w:pos="5760"/>
        </w:tabs>
        <w:ind w:left="5760" w:hanging="360"/>
      </w:pPr>
      <w:rPr>
        <w:rFonts w:ascii="Arial" w:hAnsi="Arial" w:hint="default"/>
      </w:rPr>
    </w:lvl>
    <w:lvl w:ilvl="8" w:tplc="ABE88D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E5A8B"/>
    <w:multiLevelType w:val="hybridMultilevel"/>
    <w:tmpl w:val="A48E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C77A0E"/>
    <w:multiLevelType w:val="hybridMultilevel"/>
    <w:tmpl w:val="D4B267C2"/>
    <w:lvl w:ilvl="0" w:tplc="13BC8792">
      <w:start w:val="1"/>
      <w:numFmt w:val="bullet"/>
      <w:lvlText w:val="•"/>
      <w:lvlJc w:val="left"/>
      <w:pPr>
        <w:tabs>
          <w:tab w:val="num" w:pos="363"/>
        </w:tabs>
        <w:ind w:left="363" w:hanging="360"/>
      </w:pPr>
      <w:rPr>
        <w:rFonts w:ascii="Arial" w:hAnsi="Arial" w:hint="default"/>
      </w:rPr>
    </w:lvl>
    <w:lvl w:ilvl="1" w:tplc="5356A2F4" w:tentative="1">
      <w:start w:val="1"/>
      <w:numFmt w:val="bullet"/>
      <w:lvlText w:val="•"/>
      <w:lvlJc w:val="left"/>
      <w:pPr>
        <w:tabs>
          <w:tab w:val="num" w:pos="1083"/>
        </w:tabs>
        <w:ind w:left="1083" w:hanging="360"/>
      </w:pPr>
      <w:rPr>
        <w:rFonts w:ascii="Arial" w:hAnsi="Arial" w:hint="default"/>
      </w:rPr>
    </w:lvl>
    <w:lvl w:ilvl="2" w:tplc="D4AE94C6" w:tentative="1">
      <w:start w:val="1"/>
      <w:numFmt w:val="bullet"/>
      <w:lvlText w:val="•"/>
      <w:lvlJc w:val="left"/>
      <w:pPr>
        <w:tabs>
          <w:tab w:val="num" w:pos="1803"/>
        </w:tabs>
        <w:ind w:left="1803" w:hanging="360"/>
      </w:pPr>
      <w:rPr>
        <w:rFonts w:ascii="Arial" w:hAnsi="Arial" w:hint="default"/>
      </w:rPr>
    </w:lvl>
    <w:lvl w:ilvl="3" w:tplc="031EF93A" w:tentative="1">
      <w:start w:val="1"/>
      <w:numFmt w:val="bullet"/>
      <w:lvlText w:val="•"/>
      <w:lvlJc w:val="left"/>
      <w:pPr>
        <w:tabs>
          <w:tab w:val="num" w:pos="2523"/>
        </w:tabs>
        <w:ind w:left="2523" w:hanging="360"/>
      </w:pPr>
      <w:rPr>
        <w:rFonts w:ascii="Arial" w:hAnsi="Arial" w:hint="default"/>
      </w:rPr>
    </w:lvl>
    <w:lvl w:ilvl="4" w:tplc="E15C228A" w:tentative="1">
      <w:start w:val="1"/>
      <w:numFmt w:val="bullet"/>
      <w:lvlText w:val="•"/>
      <w:lvlJc w:val="left"/>
      <w:pPr>
        <w:tabs>
          <w:tab w:val="num" w:pos="3243"/>
        </w:tabs>
        <w:ind w:left="3243" w:hanging="360"/>
      </w:pPr>
      <w:rPr>
        <w:rFonts w:ascii="Arial" w:hAnsi="Arial" w:hint="default"/>
      </w:rPr>
    </w:lvl>
    <w:lvl w:ilvl="5" w:tplc="75747ED0" w:tentative="1">
      <w:start w:val="1"/>
      <w:numFmt w:val="bullet"/>
      <w:lvlText w:val="•"/>
      <w:lvlJc w:val="left"/>
      <w:pPr>
        <w:tabs>
          <w:tab w:val="num" w:pos="3963"/>
        </w:tabs>
        <w:ind w:left="3963" w:hanging="360"/>
      </w:pPr>
      <w:rPr>
        <w:rFonts w:ascii="Arial" w:hAnsi="Arial" w:hint="default"/>
      </w:rPr>
    </w:lvl>
    <w:lvl w:ilvl="6" w:tplc="9A32190E" w:tentative="1">
      <w:start w:val="1"/>
      <w:numFmt w:val="bullet"/>
      <w:lvlText w:val="•"/>
      <w:lvlJc w:val="left"/>
      <w:pPr>
        <w:tabs>
          <w:tab w:val="num" w:pos="4683"/>
        </w:tabs>
        <w:ind w:left="4683" w:hanging="360"/>
      </w:pPr>
      <w:rPr>
        <w:rFonts w:ascii="Arial" w:hAnsi="Arial" w:hint="default"/>
      </w:rPr>
    </w:lvl>
    <w:lvl w:ilvl="7" w:tplc="72B4EECC" w:tentative="1">
      <w:start w:val="1"/>
      <w:numFmt w:val="bullet"/>
      <w:lvlText w:val="•"/>
      <w:lvlJc w:val="left"/>
      <w:pPr>
        <w:tabs>
          <w:tab w:val="num" w:pos="5403"/>
        </w:tabs>
        <w:ind w:left="5403" w:hanging="360"/>
      </w:pPr>
      <w:rPr>
        <w:rFonts w:ascii="Arial" w:hAnsi="Arial" w:hint="default"/>
      </w:rPr>
    </w:lvl>
    <w:lvl w:ilvl="8" w:tplc="C7E05F0C" w:tentative="1">
      <w:start w:val="1"/>
      <w:numFmt w:val="bullet"/>
      <w:lvlText w:val="•"/>
      <w:lvlJc w:val="left"/>
      <w:pPr>
        <w:tabs>
          <w:tab w:val="num" w:pos="6123"/>
        </w:tabs>
        <w:ind w:left="6123" w:hanging="360"/>
      </w:pPr>
      <w:rPr>
        <w:rFonts w:ascii="Arial" w:hAnsi="Arial" w:hint="default"/>
      </w:rPr>
    </w:lvl>
  </w:abstractNum>
  <w:abstractNum w:abstractNumId="3" w15:restartNumberingAfterBreak="0">
    <w:nsid w:val="44B230FC"/>
    <w:multiLevelType w:val="hybridMultilevel"/>
    <w:tmpl w:val="F866038E"/>
    <w:lvl w:ilvl="0" w:tplc="D0862DCA">
      <w:start w:val="1"/>
      <w:numFmt w:val="bullet"/>
      <w:lvlText w:val="•"/>
      <w:lvlJc w:val="left"/>
      <w:pPr>
        <w:tabs>
          <w:tab w:val="num" w:pos="720"/>
        </w:tabs>
        <w:ind w:left="720" w:hanging="360"/>
      </w:pPr>
      <w:rPr>
        <w:rFonts w:ascii="Arial" w:hAnsi="Arial" w:hint="default"/>
      </w:rPr>
    </w:lvl>
    <w:lvl w:ilvl="1" w:tplc="157EEBE4" w:tentative="1">
      <w:start w:val="1"/>
      <w:numFmt w:val="bullet"/>
      <w:lvlText w:val="•"/>
      <w:lvlJc w:val="left"/>
      <w:pPr>
        <w:tabs>
          <w:tab w:val="num" w:pos="1440"/>
        </w:tabs>
        <w:ind w:left="1440" w:hanging="360"/>
      </w:pPr>
      <w:rPr>
        <w:rFonts w:ascii="Arial" w:hAnsi="Arial" w:hint="default"/>
      </w:rPr>
    </w:lvl>
    <w:lvl w:ilvl="2" w:tplc="2634FA28" w:tentative="1">
      <w:start w:val="1"/>
      <w:numFmt w:val="bullet"/>
      <w:lvlText w:val="•"/>
      <w:lvlJc w:val="left"/>
      <w:pPr>
        <w:tabs>
          <w:tab w:val="num" w:pos="2160"/>
        </w:tabs>
        <w:ind w:left="2160" w:hanging="360"/>
      </w:pPr>
      <w:rPr>
        <w:rFonts w:ascii="Arial" w:hAnsi="Arial" w:hint="default"/>
      </w:rPr>
    </w:lvl>
    <w:lvl w:ilvl="3" w:tplc="67800DB6" w:tentative="1">
      <w:start w:val="1"/>
      <w:numFmt w:val="bullet"/>
      <w:lvlText w:val="•"/>
      <w:lvlJc w:val="left"/>
      <w:pPr>
        <w:tabs>
          <w:tab w:val="num" w:pos="2880"/>
        </w:tabs>
        <w:ind w:left="2880" w:hanging="360"/>
      </w:pPr>
      <w:rPr>
        <w:rFonts w:ascii="Arial" w:hAnsi="Arial" w:hint="default"/>
      </w:rPr>
    </w:lvl>
    <w:lvl w:ilvl="4" w:tplc="6CDC9F98" w:tentative="1">
      <w:start w:val="1"/>
      <w:numFmt w:val="bullet"/>
      <w:lvlText w:val="•"/>
      <w:lvlJc w:val="left"/>
      <w:pPr>
        <w:tabs>
          <w:tab w:val="num" w:pos="3600"/>
        </w:tabs>
        <w:ind w:left="3600" w:hanging="360"/>
      </w:pPr>
      <w:rPr>
        <w:rFonts w:ascii="Arial" w:hAnsi="Arial" w:hint="default"/>
      </w:rPr>
    </w:lvl>
    <w:lvl w:ilvl="5" w:tplc="32F087F8" w:tentative="1">
      <w:start w:val="1"/>
      <w:numFmt w:val="bullet"/>
      <w:lvlText w:val="•"/>
      <w:lvlJc w:val="left"/>
      <w:pPr>
        <w:tabs>
          <w:tab w:val="num" w:pos="4320"/>
        </w:tabs>
        <w:ind w:left="4320" w:hanging="360"/>
      </w:pPr>
      <w:rPr>
        <w:rFonts w:ascii="Arial" w:hAnsi="Arial" w:hint="default"/>
      </w:rPr>
    </w:lvl>
    <w:lvl w:ilvl="6" w:tplc="A9C0AFC6" w:tentative="1">
      <w:start w:val="1"/>
      <w:numFmt w:val="bullet"/>
      <w:lvlText w:val="•"/>
      <w:lvlJc w:val="left"/>
      <w:pPr>
        <w:tabs>
          <w:tab w:val="num" w:pos="5040"/>
        </w:tabs>
        <w:ind w:left="5040" w:hanging="360"/>
      </w:pPr>
      <w:rPr>
        <w:rFonts w:ascii="Arial" w:hAnsi="Arial" w:hint="default"/>
      </w:rPr>
    </w:lvl>
    <w:lvl w:ilvl="7" w:tplc="BB729C42" w:tentative="1">
      <w:start w:val="1"/>
      <w:numFmt w:val="bullet"/>
      <w:lvlText w:val="•"/>
      <w:lvlJc w:val="left"/>
      <w:pPr>
        <w:tabs>
          <w:tab w:val="num" w:pos="5760"/>
        </w:tabs>
        <w:ind w:left="5760" w:hanging="360"/>
      </w:pPr>
      <w:rPr>
        <w:rFonts w:ascii="Arial" w:hAnsi="Arial" w:hint="default"/>
      </w:rPr>
    </w:lvl>
    <w:lvl w:ilvl="8" w:tplc="0A9C4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557829"/>
    <w:multiLevelType w:val="hybridMultilevel"/>
    <w:tmpl w:val="03DEC74A"/>
    <w:lvl w:ilvl="0" w:tplc="FC806BC8">
      <w:start w:val="1"/>
      <w:numFmt w:val="bullet"/>
      <w:lvlText w:val="•"/>
      <w:lvlJc w:val="left"/>
      <w:pPr>
        <w:tabs>
          <w:tab w:val="num" w:pos="720"/>
        </w:tabs>
        <w:ind w:left="720" w:hanging="360"/>
      </w:pPr>
      <w:rPr>
        <w:rFonts w:ascii="Arial" w:hAnsi="Arial" w:hint="default"/>
      </w:rPr>
    </w:lvl>
    <w:lvl w:ilvl="1" w:tplc="793A4010" w:tentative="1">
      <w:start w:val="1"/>
      <w:numFmt w:val="bullet"/>
      <w:lvlText w:val="•"/>
      <w:lvlJc w:val="left"/>
      <w:pPr>
        <w:tabs>
          <w:tab w:val="num" w:pos="1440"/>
        </w:tabs>
        <w:ind w:left="1440" w:hanging="360"/>
      </w:pPr>
      <w:rPr>
        <w:rFonts w:ascii="Arial" w:hAnsi="Arial" w:hint="default"/>
      </w:rPr>
    </w:lvl>
    <w:lvl w:ilvl="2" w:tplc="07F6D1EE" w:tentative="1">
      <w:start w:val="1"/>
      <w:numFmt w:val="bullet"/>
      <w:lvlText w:val="•"/>
      <w:lvlJc w:val="left"/>
      <w:pPr>
        <w:tabs>
          <w:tab w:val="num" w:pos="2160"/>
        </w:tabs>
        <w:ind w:left="2160" w:hanging="360"/>
      </w:pPr>
      <w:rPr>
        <w:rFonts w:ascii="Arial" w:hAnsi="Arial" w:hint="default"/>
      </w:rPr>
    </w:lvl>
    <w:lvl w:ilvl="3" w:tplc="1D9EBD7E" w:tentative="1">
      <w:start w:val="1"/>
      <w:numFmt w:val="bullet"/>
      <w:lvlText w:val="•"/>
      <w:lvlJc w:val="left"/>
      <w:pPr>
        <w:tabs>
          <w:tab w:val="num" w:pos="2880"/>
        </w:tabs>
        <w:ind w:left="2880" w:hanging="360"/>
      </w:pPr>
      <w:rPr>
        <w:rFonts w:ascii="Arial" w:hAnsi="Arial" w:hint="default"/>
      </w:rPr>
    </w:lvl>
    <w:lvl w:ilvl="4" w:tplc="0EE2576E" w:tentative="1">
      <w:start w:val="1"/>
      <w:numFmt w:val="bullet"/>
      <w:lvlText w:val="•"/>
      <w:lvlJc w:val="left"/>
      <w:pPr>
        <w:tabs>
          <w:tab w:val="num" w:pos="3600"/>
        </w:tabs>
        <w:ind w:left="3600" w:hanging="360"/>
      </w:pPr>
      <w:rPr>
        <w:rFonts w:ascii="Arial" w:hAnsi="Arial" w:hint="default"/>
      </w:rPr>
    </w:lvl>
    <w:lvl w:ilvl="5" w:tplc="8910C890" w:tentative="1">
      <w:start w:val="1"/>
      <w:numFmt w:val="bullet"/>
      <w:lvlText w:val="•"/>
      <w:lvlJc w:val="left"/>
      <w:pPr>
        <w:tabs>
          <w:tab w:val="num" w:pos="4320"/>
        </w:tabs>
        <w:ind w:left="4320" w:hanging="360"/>
      </w:pPr>
      <w:rPr>
        <w:rFonts w:ascii="Arial" w:hAnsi="Arial" w:hint="default"/>
      </w:rPr>
    </w:lvl>
    <w:lvl w:ilvl="6" w:tplc="F000E35C" w:tentative="1">
      <w:start w:val="1"/>
      <w:numFmt w:val="bullet"/>
      <w:lvlText w:val="•"/>
      <w:lvlJc w:val="left"/>
      <w:pPr>
        <w:tabs>
          <w:tab w:val="num" w:pos="5040"/>
        </w:tabs>
        <w:ind w:left="5040" w:hanging="360"/>
      </w:pPr>
      <w:rPr>
        <w:rFonts w:ascii="Arial" w:hAnsi="Arial" w:hint="default"/>
      </w:rPr>
    </w:lvl>
    <w:lvl w:ilvl="7" w:tplc="D04EC9B0" w:tentative="1">
      <w:start w:val="1"/>
      <w:numFmt w:val="bullet"/>
      <w:lvlText w:val="•"/>
      <w:lvlJc w:val="left"/>
      <w:pPr>
        <w:tabs>
          <w:tab w:val="num" w:pos="5760"/>
        </w:tabs>
        <w:ind w:left="5760" w:hanging="360"/>
      </w:pPr>
      <w:rPr>
        <w:rFonts w:ascii="Arial" w:hAnsi="Arial" w:hint="default"/>
      </w:rPr>
    </w:lvl>
    <w:lvl w:ilvl="8" w:tplc="EF96F7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A367AB"/>
    <w:multiLevelType w:val="hybridMultilevel"/>
    <w:tmpl w:val="95EA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56"/>
    <w:rsid w:val="00364104"/>
    <w:rsid w:val="003F6156"/>
    <w:rsid w:val="00414FE5"/>
    <w:rsid w:val="00433003"/>
    <w:rsid w:val="005D2047"/>
    <w:rsid w:val="006247CE"/>
    <w:rsid w:val="007B60C2"/>
    <w:rsid w:val="00947CE6"/>
    <w:rsid w:val="00A62973"/>
    <w:rsid w:val="00A722F6"/>
    <w:rsid w:val="00C834FB"/>
    <w:rsid w:val="00D628E8"/>
    <w:rsid w:val="00DA2A07"/>
    <w:rsid w:val="00E53CCD"/>
    <w:rsid w:val="00F80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915D45-8813-4AEC-9F52-04814D11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56"/>
    <w:pPr>
      <w:ind w:left="720"/>
      <w:contextualSpacing/>
    </w:pPr>
  </w:style>
  <w:style w:type="paragraph" w:styleId="Header">
    <w:name w:val="header"/>
    <w:basedOn w:val="Normal"/>
    <w:link w:val="HeaderChar"/>
    <w:uiPriority w:val="99"/>
    <w:unhideWhenUsed/>
    <w:rsid w:val="005D2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47"/>
  </w:style>
  <w:style w:type="paragraph" w:styleId="Footer">
    <w:name w:val="footer"/>
    <w:basedOn w:val="Normal"/>
    <w:link w:val="FooterChar"/>
    <w:uiPriority w:val="99"/>
    <w:unhideWhenUsed/>
    <w:rsid w:val="005D2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47"/>
  </w:style>
  <w:style w:type="character" w:styleId="Hyperlink">
    <w:name w:val="Hyperlink"/>
    <w:basedOn w:val="DefaultParagraphFont"/>
    <w:uiPriority w:val="99"/>
    <w:unhideWhenUsed/>
    <w:rsid w:val="00F8038C"/>
    <w:rPr>
      <w:color w:val="0563C1" w:themeColor="hyperlink"/>
      <w:u w:val="single"/>
    </w:rPr>
  </w:style>
  <w:style w:type="table" w:styleId="TableGrid">
    <w:name w:val="Table Grid"/>
    <w:basedOn w:val="TableNormal"/>
    <w:uiPriority w:val="39"/>
    <w:rsid w:val="00E5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862">
      <w:bodyDiv w:val="1"/>
      <w:marLeft w:val="0"/>
      <w:marRight w:val="0"/>
      <w:marTop w:val="0"/>
      <w:marBottom w:val="0"/>
      <w:divBdr>
        <w:top w:val="none" w:sz="0" w:space="0" w:color="auto"/>
        <w:left w:val="none" w:sz="0" w:space="0" w:color="auto"/>
        <w:bottom w:val="none" w:sz="0" w:space="0" w:color="auto"/>
        <w:right w:val="none" w:sz="0" w:space="0" w:color="auto"/>
      </w:divBdr>
      <w:divsChild>
        <w:div w:id="1302275057">
          <w:marLeft w:val="360"/>
          <w:marRight w:val="0"/>
          <w:marTop w:val="0"/>
          <w:marBottom w:val="0"/>
          <w:divBdr>
            <w:top w:val="none" w:sz="0" w:space="0" w:color="auto"/>
            <w:left w:val="none" w:sz="0" w:space="0" w:color="auto"/>
            <w:bottom w:val="none" w:sz="0" w:space="0" w:color="auto"/>
            <w:right w:val="none" w:sz="0" w:space="0" w:color="auto"/>
          </w:divBdr>
        </w:div>
        <w:div w:id="750126192">
          <w:marLeft w:val="360"/>
          <w:marRight w:val="0"/>
          <w:marTop w:val="0"/>
          <w:marBottom w:val="0"/>
          <w:divBdr>
            <w:top w:val="none" w:sz="0" w:space="0" w:color="auto"/>
            <w:left w:val="none" w:sz="0" w:space="0" w:color="auto"/>
            <w:bottom w:val="none" w:sz="0" w:space="0" w:color="auto"/>
            <w:right w:val="none" w:sz="0" w:space="0" w:color="auto"/>
          </w:divBdr>
        </w:div>
        <w:div w:id="1940916288">
          <w:marLeft w:val="360"/>
          <w:marRight w:val="0"/>
          <w:marTop w:val="0"/>
          <w:marBottom w:val="0"/>
          <w:divBdr>
            <w:top w:val="none" w:sz="0" w:space="0" w:color="auto"/>
            <w:left w:val="none" w:sz="0" w:space="0" w:color="auto"/>
            <w:bottom w:val="none" w:sz="0" w:space="0" w:color="auto"/>
            <w:right w:val="none" w:sz="0" w:space="0" w:color="auto"/>
          </w:divBdr>
        </w:div>
        <w:div w:id="453988872">
          <w:marLeft w:val="360"/>
          <w:marRight w:val="0"/>
          <w:marTop w:val="0"/>
          <w:marBottom w:val="0"/>
          <w:divBdr>
            <w:top w:val="none" w:sz="0" w:space="0" w:color="auto"/>
            <w:left w:val="none" w:sz="0" w:space="0" w:color="auto"/>
            <w:bottom w:val="none" w:sz="0" w:space="0" w:color="auto"/>
            <w:right w:val="none" w:sz="0" w:space="0" w:color="auto"/>
          </w:divBdr>
        </w:div>
        <w:div w:id="1465854424">
          <w:marLeft w:val="360"/>
          <w:marRight w:val="0"/>
          <w:marTop w:val="0"/>
          <w:marBottom w:val="0"/>
          <w:divBdr>
            <w:top w:val="none" w:sz="0" w:space="0" w:color="auto"/>
            <w:left w:val="none" w:sz="0" w:space="0" w:color="auto"/>
            <w:bottom w:val="none" w:sz="0" w:space="0" w:color="auto"/>
            <w:right w:val="none" w:sz="0" w:space="0" w:color="auto"/>
          </w:divBdr>
        </w:div>
        <w:div w:id="1180700121">
          <w:marLeft w:val="360"/>
          <w:marRight w:val="0"/>
          <w:marTop w:val="0"/>
          <w:marBottom w:val="0"/>
          <w:divBdr>
            <w:top w:val="none" w:sz="0" w:space="0" w:color="auto"/>
            <w:left w:val="none" w:sz="0" w:space="0" w:color="auto"/>
            <w:bottom w:val="none" w:sz="0" w:space="0" w:color="auto"/>
            <w:right w:val="none" w:sz="0" w:space="0" w:color="auto"/>
          </w:divBdr>
        </w:div>
        <w:div w:id="627472801">
          <w:marLeft w:val="360"/>
          <w:marRight w:val="0"/>
          <w:marTop w:val="0"/>
          <w:marBottom w:val="0"/>
          <w:divBdr>
            <w:top w:val="none" w:sz="0" w:space="0" w:color="auto"/>
            <w:left w:val="none" w:sz="0" w:space="0" w:color="auto"/>
            <w:bottom w:val="none" w:sz="0" w:space="0" w:color="auto"/>
            <w:right w:val="none" w:sz="0" w:space="0" w:color="auto"/>
          </w:divBdr>
        </w:div>
        <w:div w:id="1228610460">
          <w:marLeft w:val="360"/>
          <w:marRight w:val="0"/>
          <w:marTop w:val="0"/>
          <w:marBottom w:val="0"/>
          <w:divBdr>
            <w:top w:val="none" w:sz="0" w:space="0" w:color="auto"/>
            <w:left w:val="none" w:sz="0" w:space="0" w:color="auto"/>
            <w:bottom w:val="none" w:sz="0" w:space="0" w:color="auto"/>
            <w:right w:val="none" w:sz="0" w:space="0" w:color="auto"/>
          </w:divBdr>
        </w:div>
        <w:div w:id="961615911">
          <w:marLeft w:val="360"/>
          <w:marRight w:val="0"/>
          <w:marTop w:val="0"/>
          <w:marBottom w:val="0"/>
          <w:divBdr>
            <w:top w:val="none" w:sz="0" w:space="0" w:color="auto"/>
            <w:left w:val="none" w:sz="0" w:space="0" w:color="auto"/>
            <w:bottom w:val="none" w:sz="0" w:space="0" w:color="auto"/>
            <w:right w:val="none" w:sz="0" w:space="0" w:color="auto"/>
          </w:divBdr>
        </w:div>
      </w:divsChild>
    </w:div>
    <w:div w:id="495147712">
      <w:bodyDiv w:val="1"/>
      <w:marLeft w:val="0"/>
      <w:marRight w:val="0"/>
      <w:marTop w:val="0"/>
      <w:marBottom w:val="0"/>
      <w:divBdr>
        <w:top w:val="none" w:sz="0" w:space="0" w:color="auto"/>
        <w:left w:val="none" w:sz="0" w:space="0" w:color="auto"/>
        <w:bottom w:val="none" w:sz="0" w:space="0" w:color="auto"/>
        <w:right w:val="none" w:sz="0" w:space="0" w:color="auto"/>
      </w:divBdr>
    </w:div>
    <w:div w:id="512501723">
      <w:bodyDiv w:val="1"/>
      <w:marLeft w:val="0"/>
      <w:marRight w:val="0"/>
      <w:marTop w:val="0"/>
      <w:marBottom w:val="0"/>
      <w:divBdr>
        <w:top w:val="none" w:sz="0" w:space="0" w:color="auto"/>
        <w:left w:val="none" w:sz="0" w:space="0" w:color="auto"/>
        <w:bottom w:val="none" w:sz="0" w:space="0" w:color="auto"/>
        <w:right w:val="none" w:sz="0" w:space="0" w:color="auto"/>
      </w:divBdr>
    </w:div>
    <w:div w:id="13748167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806">
          <w:marLeft w:val="360"/>
          <w:marRight w:val="0"/>
          <w:marTop w:val="200"/>
          <w:marBottom w:val="0"/>
          <w:divBdr>
            <w:top w:val="none" w:sz="0" w:space="0" w:color="auto"/>
            <w:left w:val="none" w:sz="0" w:space="0" w:color="auto"/>
            <w:bottom w:val="none" w:sz="0" w:space="0" w:color="auto"/>
            <w:right w:val="none" w:sz="0" w:space="0" w:color="auto"/>
          </w:divBdr>
        </w:div>
        <w:div w:id="1890795676">
          <w:marLeft w:val="360"/>
          <w:marRight w:val="0"/>
          <w:marTop w:val="200"/>
          <w:marBottom w:val="0"/>
          <w:divBdr>
            <w:top w:val="none" w:sz="0" w:space="0" w:color="auto"/>
            <w:left w:val="none" w:sz="0" w:space="0" w:color="auto"/>
            <w:bottom w:val="none" w:sz="0" w:space="0" w:color="auto"/>
            <w:right w:val="none" w:sz="0" w:space="0" w:color="auto"/>
          </w:divBdr>
        </w:div>
        <w:div w:id="1452170172">
          <w:marLeft w:val="360"/>
          <w:marRight w:val="0"/>
          <w:marTop w:val="200"/>
          <w:marBottom w:val="0"/>
          <w:divBdr>
            <w:top w:val="none" w:sz="0" w:space="0" w:color="auto"/>
            <w:left w:val="none" w:sz="0" w:space="0" w:color="auto"/>
            <w:bottom w:val="none" w:sz="0" w:space="0" w:color="auto"/>
            <w:right w:val="none" w:sz="0" w:space="0" w:color="auto"/>
          </w:divBdr>
        </w:div>
        <w:div w:id="591672070">
          <w:marLeft w:val="360"/>
          <w:marRight w:val="0"/>
          <w:marTop w:val="200"/>
          <w:marBottom w:val="0"/>
          <w:divBdr>
            <w:top w:val="none" w:sz="0" w:space="0" w:color="auto"/>
            <w:left w:val="none" w:sz="0" w:space="0" w:color="auto"/>
            <w:bottom w:val="none" w:sz="0" w:space="0" w:color="auto"/>
            <w:right w:val="none" w:sz="0" w:space="0" w:color="auto"/>
          </w:divBdr>
        </w:div>
        <w:div w:id="1595163114">
          <w:marLeft w:val="360"/>
          <w:marRight w:val="0"/>
          <w:marTop w:val="200"/>
          <w:marBottom w:val="0"/>
          <w:divBdr>
            <w:top w:val="none" w:sz="0" w:space="0" w:color="auto"/>
            <w:left w:val="none" w:sz="0" w:space="0" w:color="auto"/>
            <w:bottom w:val="none" w:sz="0" w:space="0" w:color="auto"/>
            <w:right w:val="none" w:sz="0" w:space="0" w:color="auto"/>
          </w:divBdr>
        </w:div>
      </w:divsChild>
    </w:div>
    <w:div w:id="1448038464">
      <w:bodyDiv w:val="1"/>
      <w:marLeft w:val="0"/>
      <w:marRight w:val="0"/>
      <w:marTop w:val="0"/>
      <w:marBottom w:val="0"/>
      <w:divBdr>
        <w:top w:val="none" w:sz="0" w:space="0" w:color="auto"/>
        <w:left w:val="none" w:sz="0" w:space="0" w:color="auto"/>
        <w:bottom w:val="none" w:sz="0" w:space="0" w:color="auto"/>
        <w:right w:val="none" w:sz="0" w:space="0" w:color="auto"/>
      </w:divBdr>
      <w:divsChild>
        <w:div w:id="1017846434">
          <w:marLeft w:val="360"/>
          <w:marRight w:val="0"/>
          <w:marTop w:val="200"/>
          <w:marBottom w:val="0"/>
          <w:divBdr>
            <w:top w:val="none" w:sz="0" w:space="0" w:color="auto"/>
            <w:left w:val="none" w:sz="0" w:space="0" w:color="auto"/>
            <w:bottom w:val="none" w:sz="0" w:space="0" w:color="auto"/>
            <w:right w:val="none" w:sz="0" w:space="0" w:color="auto"/>
          </w:divBdr>
        </w:div>
        <w:div w:id="547230500">
          <w:marLeft w:val="360"/>
          <w:marRight w:val="0"/>
          <w:marTop w:val="200"/>
          <w:marBottom w:val="0"/>
          <w:divBdr>
            <w:top w:val="none" w:sz="0" w:space="0" w:color="auto"/>
            <w:left w:val="none" w:sz="0" w:space="0" w:color="auto"/>
            <w:bottom w:val="none" w:sz="0" w:space="0" w:color="auto"/>
            <w:right w:val="none" w:sz="0" w:space="0" w:color="auto"/>
          </w:divBdr>
        </w:div>
        <w:div w:id="1056005636">
          <w:marLeft w:val="360"/>
          <w:marRight w:val="0"/>
          <w:marTop w:val="200"/>
          <w:marBottom w:val="0"/>
          <w:divBdr>
            <w:top w:val="none" w:sz="0" w:space="0" w:color="auto"/>
            <w:left w:val="none" w:sz="0" w:space="0" w:color="auto"/>
            <w:bottom w:val="none" w:sz="0" w:space="0" w:color="auto"/>
            <w:right w:val="none" w:sz="0" w:space="0" w:color="auto"/>
          </w:divBdr>
        </w:div>
      </w:divsChild>
    </w:div>
    <w:div w:id="1511287433">
      <w:bodyDiv w:val="1"/>
      <w:marLeft w:val="0"/>
      <w:marRight w:val="0"/>
      <w:marTop w:val="0"/>
      <w:marBottom w:val="0"/>
      <w:divBdr>
        <w:top w:val="none" w:sz="0" w:space="0" w:color="auto"/>
        <w:left w:val="none" w:sz="0" w:space="0" w:color="auto"/>
        <w:bottom w:val="none" w:sz="0" w:space="0" w:color="auto"/>
        <w:right w:val="none" w:sz="0" w:space="0" w:color="auto"/>
      </w:divBdr>
      <w:divsChild>
        <w:div w:id="16704791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ermanchester-ca.gov.uk/what-we-do/ageing/" TargetMode="External"/><Relationship Id="rId5" Type="http://schemas.openxmlformats.org/officeDocument/2006/relationships/footnotes" Target="footnotes.xml"/><Relationship Id="rId10" Type="http://schemas.openxmlformats.org/officeDocument/2006/relationships/hyperlink" Target="https://manchestercommunitycentral.org/" TargetMode="External"/><Relationship Id="rId4" Type="http://schemas.openxmlformats.org/officeDocument/2006/relationships/webSettings" Target="webSettings.xml"/><Relationship Id="rId9" Type="http://schemas.openxmlformats.org/officeDocument/2006/relationships/hyperlink" Target="https://www.gmop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Connor</dc:creator>
  <cp:keywords/>
  <dc:description/>
  <cp:lastModifiedBy>Pauline Clark</cp:lastModifiedBy>
  <cp:revision>2</cp:revision>
  <dcterms:created xsi:type="dcterms:W3CDTF">2021-09-29T12:39:00Z</dcterms:created>
  <dcterms:modified xsi:type="dcterms:W3CDTF">2021-09-29T12:39:00Z</dcterms:modified>
</cp:coreProperties>
</file>